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67351" w14:textId="77777777" w:rsidR="00180ABC" w:rsidRDefault="00180ABC">
      <w:pPr>
        <w:rPr>
          <w:rFonts w:ascii="Cambria" w:hAnsi="Cambria"/>
          <w:lang w:val="en-US"/>
        </w:rPr>
      </w:pPr>
    </w:p>
    <w:p w14:paraId="3FD1E16D" w14:textId="77777777" w:rsidR="00180ABC" w:rsidRDefault="00180ABC">
      <w:pPr>
        <w:rPr>
          <w:rFonts w:ascii="Cambria" w:hAnsi="Cambria"/>
          <w:lang w:val="en-US"/>
        </w:rPr>
      </w:pPr>
    </w:p>
    <w:p w14:paraId="3536F1C7" w14:textId="77777777" w:rsidR="00180ABC" w:rsidRDefault="00180ABC">
      <w:pPr>
        <w:rPr>
          <w:rFonts w:ascii="Cambria" w:hAnsi="Cambria"/>
          <w:lang w:val="en-US"/>
        </w:rPr>
      </w:pPr>
    </w:p>
    <w:p w14:paraId="74D1AE8A" w14:textId="77777777" w:rsidR="00180ABC" w:rsidRDefault="00180ABC">
      <w:pPr>
        <w:rPr>
          <w:rFonts w:ascii="Cambria" w:hAnsi="Cambria"/>
          <w:lang w:val="en-US"/>
        </w:rPr>
      </w:pPr>
    </w:p>
    <w:p w14:paraId="4D8F5102" w14:textId="77777777" w:rsidR="00180ABC" w:rsidRDefault="00180ABC">
      <w:pPr>
        <w:rPr>
          <w:rFonts w:ascii="Cambria" w:hAnsi="Cambria"/>
          <w:lang w:val="en-US"/>
        </w:rPr>
      </w:pPr>
    </w:p>
    <w:p w14:paraId="04E6DE9A" w14:textId="77777777" w:rsidR="00180ABC" w:rsidRDefault="00180ABC">
      <w:pPr>
        <w:rPr>
          <w:rFonts w:ascii="Cambria" w:hAnsi="Cambria"/>
          <w:lang w:val="en-US"/>
        </w:rPr>
      </w:pPr>
    </w:p>
    <w:p w14:paraId="35BC23CB" w14:textId="77777777" w:rsidR="00180ABC" w:rsidRDefault="00180ABC">
      <w:pPr>
        <w:rPr>
          <w:rFonts w:ascii="Cambria" w:hAnsi="Cambria"/>
          <w:lang w:val="en-US"/>
        </w:rPr>
      </w:pPr>
    </w:p>
    <w:p w14:paraId="17775163" w14:textId="77777777" w:rsidR="00180ABC" w:rsidRDefault="00180ABC">
      <w:pPr>
        <w:rPr>
          <w:rFonts w:ascii="Cambria" w:hAnsi="Cambria"/>
          <w:lang w:val="en-US"/>
        </w:rPr>
      </w:pPr>
    </w:p>
    <w:p w14:paraId="7C9142FD" w14:textId="77777777" w:rsidR="00180ABC" w:rsidRDefault="00180ABC">
      <w:pPr>
        <w:rPr>
          <w:rFonts w:ascii="Cambria" w:hAnsi="Cambria"/>
          <w:lang w:val="en-US"/>
        </w:rPr>
      </w:pPr>
    </w:p>
    <w:p w14:paraId="5263FD1D" w14:textId="77777777" w:rsidR="00180ABC" w:rsidRDefault="00180ABC">
      <w:pPr>
        <w:rPr>
          <w:rFonts w:ascii="Cambria" w:hAnsi="Cambria"/>
          <w:lang w:val="en-US"/>
        </w:rPr>
      </w:pPr>
    </w:p>
    <w:p w14:paraId="46E25793" w14:textId="77777777" w:rsidR="00180ABC" w:rsidRDefault="00180ABC">
      <w:pPr>
        <w:rPr>
          <w:rFonts w:ascii="Cambria" w:hAnsi="Cambria"/>
          <w:lang w:val="en-US"/>
        </w:rPr>
      </w:pPr>
    </w:p>
    <w:p w14:paraId="23C543D3" w14:textId="40CF803C" w:rsidR="001065CB" w:rsidRPr="001065CB" w:rsidRDefault="001065CB" w:rsidP="001065CB">
      <w:pPr>
        <w:spacing w:line="480" w:lineRule="auto"/>
        <w:jc w:val="center"/>
        <w:rPr>
          <w:rFonts w:ascii="Cambria" w:hAnsi="Cambria"/>
          <w:b/>
          <w:sz w:val="32"/>
          <w:szCs w:val="32"/>
          <w:lang w:val="en-US"/>
        </w:rPr>
      </w:pPr>
      <w:r w:rsidRPr="001065CB">
        <w:rPr>
          <w:rFonts w:ascii="Cambria" w:hAnsi="Cambria"/>
          <w:b/>
          <w:sz w:val="32"/>
          <w:szCs w:val="32"/>
          <w:lang w:val="en-US"/>
        </w:rPr>
        <w:t xml:space="preserve">Thunder Bay Police Services’ Citizen Satisfaction Survey 2018: </w:t>
      </w:r>
    </w:p>
    <w:p w14:paraId="51C5496A" w14:textId="7377571C" w:rsidR="00180ABC" w:rsidRDefault="001065CB" w:rsidP="001065CB">
      <w:pPr>
        <w:spacing w:line="480" w:lineRule="auto"/>
        <w:jc w:val="center"/>
        <w:rPr>
          <w:rFonts w:ascii="Cambria" w:hAnsi="Cambria"/>
          <w:b/>
          <w:sz w:val="32"/>
          <w:szCs w:val="32"/>
          <w:lang w:val="en-US"/>
        </w:rPr>
      </w:pPr>
      <w:r w:rsidRPr="001065CB">
        <w:rPr>
          <w:rFonts w:ascii="Cambria" w:hAnsi="Cambria"/>
          <w:b/>
          <w:sz w:val="32"/>
          <w:szCs w:val="32"/>
          <w:lang w:val="en-US"/>
        </w:rPr>
        <w:t>Similarities and Differences between two sample groups of respondents</w:t>
      </w:r>
    </w:p>
    <w:p w14:paraId="4455BACB" w14:textId="27EBCDB2" w:rsidR="001065CB" w:rsidRDefault="001065CB" w:rsidP="001065CB">
      <w:pPr>
        <w:spacing w:line="480" w:lineRule="auto"/>
        <w:jc w:val="center"/>
        <w:rPr>
          <w:rFonts w:ascii="Cambria" w:hAnsi="Cambria"/>
          <w:b/>
          <w:sz w:val="32"/>
          <w:szCs w:val="32"/>
          <w:lang w:val="en-US"/>
        </w:rPr>
      </w:pPr>
    </w:p>
    <w:p w14:paraId="1C3EF83D" w14:textId="77777777" w:rsidR="001065CB" w:rsidRPr="001065CB" w:rsidRDefault="001065CB" w:rsidP="001065CB">
      <w:pPr>
        <w:spacing w:line="480" w:lineRule="auto"/>
        <w:jc w:val="center"/>
        <w:rPr>
          <w:rFonts w:ascii="Cambria" w:hAnsi="Cambria"/>
          <w:b/>
          <w:sz w:val="32"/>
          <w:szCs w:val="32"/>
          <w:lang w:val="en-US"/>
        </w:rPr>
      </w:pPr>
    </w:p>
    <w:p w14:paraId="258A90D4" w14:textId="4FE2CA37" w:rsidR="001065CB" w:rsidRDefault="001065CB" w:rsidP="001065CB">
      <w:pPr>
        <w:spacing w:line="480" w:lineRule="auto"/>
        <w:jc w:val="center"/>
        <w:rPr>
          <w:rFonts w:ascii="Cambria" w:hAnsi="Cambria"/>
          <w:lang w:val="en-US"/>
        </w:rPr>
      </w:pPr>
    </w:p>
    <w:p w14:paraId="4A747878" w14:textId="124934AE" w:rsidR="001065CB" w:rsidRDefault="001065CB" w:rsidP="001065CB">
      <w:pPr>
        <w:spacing w:line="480" w:lineRule="auto"/>
        <w:jc w:val="center"/>
        <w:rPr>
          <w:rFonts w:ascii="Cambria" w:hAnsi="Cambria"/>
          <w:lang w:val="en-US"/>
        </w:rPr>
      </w:pPr>
      <w:r>
        <w:rPr>
          <w:rFonts w:ascii="Cambria" w:hAnsi="Cambria"/>
          <w:lang w:val="en-US"/>
        </w:rPr>
        <w:t xml:space="preserve">By Dr. L. Desmoulins </w:t>
      </w:r>
    </w:p>
    <w:p w14:paraId="1D76A19F" w14:textId="2DD709DF" w:rsidR="001065CB" w:rsidRDefault="001065CB" w:rsidP="001065CB">
      <w:pPr>
        <w:spacing w:line="480" w:lineRule="auto"/>
        <w:jc w:val="center"/>
        <w:rPr>
          <w:rFonts w:ascii="Cambria" w:hAnsi="Cambria"/>
          <w:lang w:val="en-US"/>
        </w:rPr>
      </w:pPr>
      <w:r>
        <w:rPr>
          <w:rFonts w:ascii="Cambria" w:hAnsi="Cambria"/>
          <w:lang w:val="en-US"/>
        </w:rPr>
        <w:t>April 24, 2019</w:t>
      </w:r>
    </w:p>
    <w:p w14:paraId="0CAAA913" w14:textId="77777777" w:rsidR="00180ABC" w:rsidRDefault="00180ABC">
      <w:pPr>
        <w:rPr>
          <w:rFonts w:ascii="Cambria" w:hAnsi="Cambria"/>
          <w:lang w:val="en-US"/>
        </w:rPr>
      </w:pPr>
    </w:p>
    <w:p w14:paraId="4510B623" w14:textId="77777777" w:rsidR="00180ABC" w:rsidRDefault="00180ABC">
      <w:pPr>
        <w:rPr>
          <w:rFonts w:ascii="Cambria" w:hAnsi="Cambria"/>
          <w:lang w:val="en-US"/>
        </w:rPr>
      </w:pPr>
    </w:p>
    <w:p w14:paraId="79A24430" w14:textId="77777777" w:rsidR="00180ABC" w:rsidRDefault="00180ABC">
      <w:pPr>
        <w:rPr>
          <w:rFonts w:ascii="Cambria" w:hAnsi="Cambria"/>
          <w:lang w:val="en-US"/>
        </w:rPr>
      </w:pPr>
    </w:p>
    <w:p w14:paraId="77CFE82B" w14:textId="77777777" w:rsidR="00180ABC" w:rsidRDefault="00180ABC">
      <w:pPr>
        <w:rPr>
          <w:rFonts w:ascii="Cambria" w:hAnsi="Cambria"/>
          <w:lang w:val="en-US"/>
        </w:rPr>
      </w:pPr>
    </w:p>
    <w:p w14:paraId="7C7F05B5" w14:textId="77777777" w:rsidR="00180ABC" w:rsidRDefault="00180ABC">
      <w:pPr>
        <w:rPr>
          <w:rFonts w:ascii="Cambria" w:hAnsi="Cambria"/>
          <w:lang w:val="en-US"/>
        </w:rPr>
      </w:pPr>
    </w:p>
    <w:p w14:paraId="3096A40F" w14:textId="77777777" w:rsidR="00180ABC" w:rsidRDefault="00180ABC">
      <w:pPr>
        <w:rPr>
          <w:rFonts w:ascii="Cambria" w:hAnsi="Cambria"/>
          <w:lang w:val="en-US"/>
        </w:rPr>
      </w:pPr>
    </w:p>
    <w:p w14:paraId="0AB295DE" w14:textId="64D46CA8" w:rsidR="00180ABC" w:rsidRDefault="00180ABC">
      <w:pPr>
        <w:rPr>
          <w:rFonts w:ascii="Cambria" w:hAnsi="Cambria"/>
          <w:lang w:val="en-US"/>
        </w:rPr>
      </w:pPr>
      <w:r w:rsidRPr="000519AB">
        <w:rPr>
          <w:rFonts w:ascii="Cambria" w:hAnsi="Cambria"/>
          <w:lang w:val="en-US"/>
        </w:rPr>
        <w:t>Acknowledgement</w:t>
      </w:r>
      <w:r>
        <w:rPr>
          <w:rFonts w:ascii="Cambria" w:hAnsi="Cambria"/>
          <w:lang w:val="en-US"/>
        </w:rPr>
        <w:t>s</w:t>
      </w:r>
      <w:r w:rsidRPr="000519AB">
        <w:rPr>
          <w:rFonts w:ascii="Cambria" w:hAnsi="Cambria"/>
          <w:lang w:val="en-US"/>
        </w:rPr>
        <w:t xml:space="preserve">: This study was funded by the </w:t>
      </w:r>
      <w:r w:rsidR="001065CB" w:rsidRPr="000519AB">
        <w:rPr>
          <w:rFonts w:ascii="Cambria" w:hAnsi="Cambria"/>
          <w:lang w:val="en-US"/>
        </w:rPr>
        <w:t xml:space="preserve">City of Thunder Bay </w:t>
      </w:r>
      <w:r w:rsidRPr="000519AB">
        <w:rPr>
          <w:rFonts w:ascii="Cambria" w:hAnsi="Cambria"/>
          <w:lang w:val="en-US"/>
        </w:rPr>
        <w:t>through the</w:t>
      </w:r>
      <w:r w:rsidR="001065CB">
        <w:rPr>
          <w:rFonts w:ascii="Cambria" w:hAnsi="Cambria"/>
          <w:lang w:val="en-US"/>
        </w:rPr>
        <w:t xml:space="preserve"> </w:t>
      </w:r>
      <w:r w:rsidR="00C57B2B">
        <w:rPr>
          <w:rFonts w:ascii="Cambria" w:hAnsi="Cambria"/>
          <w:lang w:val="en-US"/>
        </w:rPr>
        <w:t>TBPS</w:t>
      </w:r>
      <w:r w:rsidRPr="000519AB">
        <w:rPr>
          <w:rFonts w:ascii="Cambria" w:hAnsi="Cambria"/>
          <w:lang w:val="en-US"/>
        </w:rPr>
        <w:t xml:space="preserve">. Dr. Rick Ruddell of the Collaborative Centre for Justice and Safety provided invaluable guidance and shared trust questions from the most recent Regina Police Survey.  </w:t>
      </w:r>
      <w:r w:rsidR="001065CB" w:rsidRPr="000519AB">
        <w:rPr>
          <w:rFonts w:ascii="Cambria" w:hAnsi="Cambria"/>
          <w:lang w:val="en-US"/>
        </w:rPr>
        <w:t xml:space="preserve">The author </w:t>
      </w:r>
      <w:r w:rsidR="001065CB">
        <w:rPr>
          <w:rFonts w:ascii="Cambria" w:hAnsi="Cambria"/>
          <w:lang w:val="en-US"/>
        </w:rPr>
        <w:t xml:space="preserve">values </w:t>
      </w:r>
      <w:r w:rsidR="001065CB" w:rsidRPr="000519AB">
        <w:rPr>
          <w:rFonts w:ascii="Cambria" w:hAnsi="Cambria"/>
          <w:lang w:val="en-US"/>
        </w:rPr>
        <w:t>their support</w:t>
      </w:r>
      <w:r w:rsidR="001065CB">
        <w:rPr>
          <w:rFonts w:ascii="Cambria" w:hAnsi="Cambria"/>
          <w:lang w:val="en-US"/>
        </w:rPr>
        <w:t>: it made this</w:t>
      </w:r>
      <w:r w:rsidR="001065CB" w:rsidRPr="000519AB">
        <w:rPr>
          <w:rFonts w:ascii="Cambria" w:hAnsi="Cambria"/>
          <w:lang w:val="en-US"/>
        </w:rPr>
        <w:t xml:space="preserve"> </w:t>
      </w:r>
      <w:r w:rsidR="001065CB">
        <w:rPr>
          <w:rFonts w:ascii="Cambria" w:hAnsi="Cambria"/>
          <w:lang w:val="en-US"/>
        </w:rPr>
        <w:t xml:space="preserve">research possible. </w:t>
      </w:r>
      <w:r>
        <w:rPr>
          <w:rFonts w:ascii="Cambria" w:hAnsi="Cambria"/>
          <w:lang w:val="en-US"/>
        </w:rPr>
        <w:t xml:space="preserve">This study reflects the views of the author. It does not reflect necessarily the views and opinions of the City of Thunder Bay nor the Collaborative Centre for Justice and Safety. </w:t>
      </w:r>
      <w:r w:rsidRPr="000519AB">
        <w:rPr>
          <w:rFonts w:ascii="Cambria" w:hAnsi="Cambria"/>
          <w:lang w:val="en-US"/>
        </w:rPr>
        <w:t>Finally, the author appreciate</w:t>
      </w:r>
      <w:r w:rsidR="001065CB">
        <w:rPr>
          <w:rFonts w:ascii="Cambria" w:hAnsi="Cambria"/>
          <w:lang w:val="en-US"/>
        </w:rPr>
        <w:t>s</w:t>
      </w:r>
      <w:r w:rsidRPr="000519AB">
        <w:rPr>
          <w:rFonts w:ascii="Cambria" w:hAnsi="Cambria"/>
          <w:lang w:val="en-US"/>
        </w:rPr>
        <w:t xml:space="preserve"> the work carried out by graduate students at Lakehead University for conducting the </w:t>
      </w:r>
      <w:r>
        <w:rPr>
          <w:rFonts w:ascii="Cambria" w:hAnsi="Cambria"/>
          <w:lang w:val="en-US"/>
        </w:rPr>
        <w:t>in-person</w:t>
      </w:r>
      <w:r w:rsidRPr="000519AB">
        <w:rPr>
          <w:rFonts w:ascii="Cambria" w:hAnsi="Cambria"/>
          <w:lang w:val="en-US"/>
        </w:rPr>
        <w:t xml:space="preserve"> surveys </w:t>
      </w:r>
      <w:r w:rsidR="001065CB" w:rsidRPr="000519AB">
        <w:rPr>
          <w:rFonts w:ascii="Cambria" w:hAnsi="Cambria"/>
          <w:lang w:val="en-US"/>
        </w:rPr>
        <w:t>in Thunder Bay</w:t>
      </w:r>
      <w:r w:rsidR="001065CB">
        <w:rPr>
          <w:rFonts w:ascii="Cambria" w:hAnsi="Cambria"/>
          <w:lang w:val="en-US"/>
        </w:rPr>
        <w:t xml:space="preserve"> </w:t>
      </w:r>
      <w:r w:rsidRPr="000519AB">
        <w:rPr>
          <w:rFonts w:ascii="Cambria" w:hAnsi="Cambria"/>
          <w:lang w:val="en-US"/>
        </w:rPr>
        <w:t xml:space="preserve">in December </w:t>
      </w:r>
      <w:r w:rsidR="001065CB">
        <w:rPr>
          <w:rFonts w:ascii="Cambria" w:hAnsi="Cambria"/>
          <w:lang w:val="en-US"/>
        </w:rPr>
        <w:t>as well as coding and analyzing data from the surveys</w:t>
      </w:r>
      <w:r w:rsidRPr="000519AB">
        <w:rPr>
          <w:rFonts w:ascii="Cambria" w:hAnsi="Cambria"/>
          <w:lang w:val="en-US"/>
        </w:rPr>
        <w:t xml:space="preserve">. </w:t>
      </w:r>
    </w:p>
    <w:p w14:paraId="431642D2" w14:textId="2F303EEB" w:rsidR="00180ABC" w:rsidRDefault="00180ABC">
      <w:pPr>
        <w:rPr>
          <w:rFonts w:ascii="Cambria" w:hAnsi="Cambria"/>
          <w:lang w:val="en-US"/>
        </w:rPr>
      </w:pPr>
    </w:p>
    <w:p w14:paraId="37BD8AB2" w14:textId="34E68615" w:rsidR="00180ABC" w:rsidRDefault="00180ABC">
      <w:pPr>
        <w:rPr>
          <w:rFonts w:ascii="Cambria" w:hAnsi="Cambria"/>
          <w:b/>
        </w:rPr>
      </w:pPr>
      <w:r>
        <w:rPr>
          <w:rFonts w:ascii="Cambria" w:hAnsi="Cambria"/>
          <w:b/>
        </w:rPr>
        <w:t xml:space="preserve"> </w:t>
      </w:r>
    </w:p>
    <w:p w14:paraId="1AB68428" w14:textId="4397F5CD" w:rsidR="00416D34" w:rsidRPr="00C13B80" w:rsidRDefault="00416D34" w:rsidP="00416D34">
      <w:pPr>
        <w:spacing w:line="480" w:lineRule="auto"/>
        <w:ind w:firstLine="720"/>
        <w:jc w:val="center"/>
        <w:rPr>
          <w:rFonts w:ascii="Cambria" w:hAnsi="Cambria"/>
          <w:b/>
        </w:rPr>
      </w:pPr>
      <w:r w:rsidRPr="00C13B80">
        <w:rPr>
          <w:rFonts w:ascii="Cambria" w:hAnsi="Cambria"/>
          <w:b/>
        </w:rPr>
        <w:t>Executive Summary</w:t>
      </w:r>
    </w:p>
    <w:p w14:paraId="66F8B0CB" w14:textId="77899F3F" w:rsidR="00416D34" w:rsidRPr="009E6BD3" w:rsidRDefault="00416D34" w:rsidP="00416D34">
      <w:pPr>
        <w:spacing w:line="480" w:lineRule="auto"/>
        <w:ind w:firstLine="720"/>
        <w:rPr>
          <w:rFonts w:ascii="Cambria" w:hAnsi="Cambria"/>
          <w:sz w:val="22"/>
          <w:szCs w:val="22"/>
        </w:rPr>
      </w:pPr>
      <w:r w:rsidRPr="009E6BD3">
        <w:rPr>
          <w:rFonts w:ascii="Cambria" w:hAnsi="Cambria"/>
          <w:sz w:val="22"/>
          <w:szCs w:val="22"/>
        </w:rPr>
        <w:t xml:space="preserve">The Thunder Bay Police Service </w:t>
      </w:r>
      <w:r w:rsidR="00BE1123" w:rsidRPr="009E6BD3">
        <w:rPr>
          <w:rFonts w:ascii="Cambria" w:hAnsi="Cambria"/>
          <w:sz w:val="22"/>
          <w:szCs w:val="22"/>
        </w:rPr>
        <w:t xml:space="preserve">(TBPS) </w:t>
      </w:r>
      <w:r w:rsidRPr="009E6BD3">
        <w:rPr>
          <w:rFonts w:ascii="Cambria" w:hAnsi="Cambria"/>
          <w:sz w:val="22"/>
          <w:szCs w:val="22"/>
        </w:rPr>
        <w:t xml:space="preserve">conducts </w:t>
      </w:r>
      <w:r w:rsidR="00204390" w:rsidRPr="009E6BD3">
        <w:rPr>
          <w:rFonts w:ascii="Cambria" w:hAnsi="Cambria"/>
          <w:sz w:val="22"/>
          <w:szCs w:val="22"/>
        </w:rPr>
        <w:t>a</w:t>
      </w:r>
      <w:r w:rsidRPr="009E6BD3">
        <w:rPr>
          <w:rFonts w:ascii="Cambria" w:hAnsi="Cambria"/>
          <w:sz w:val="22"/>
          <w:szCs w:val="22"/>
        </w:rPr>
        <w:t xml:space="preserve"> </w:t>
      </w:r>
      <w:r w:rsidR="00E54D68" w:rsidRPr="009E6BD3">
        <w:rPr>
          <w:rFonts w:ascii="Cambria" w:hAnsi="Cambria"/>
          <w:sz w:val="22"/>
          <w:szCs w:val="22"/>
        </w:rPr>
        <w:t xml:space="preserve">biennial </w:t>
      </w:r>
      <w:r w:rsidRPr="009E6BD3">
        <w:rPr>
          <w:rFonts w:ascii="Cambria" w:hAnsi="Cambria"/>
          <w:sz w:val="22"/>
          <w:szCs w:val="22"/>
        </w:rPr>
        <w:t xml:space="preserve">Citizen Satisfaction Survey (CSS) </w:t>
      </w:r>
      <w:r w:rsidR="00E54D68" w:rsidRPr="009E6BD3">
        <w:rPr>
          <w:rFonts w:ascii="Cambria" w:hAnsi="Cambria"/>
          <w:sz w:val="22"/>
          <w:szCs w:val="22"/>
        </w:rPr>
        <w:t xml:space="preserve">to gauge </w:t>
      </w:r>
      <w:r w:rsidRPr="009E6BD3">
        <w:rPr>
          <w:rFonts w:ascii="Cambria" w:hAnsi="Cambria"/>
          <w:sz w:val="22"/>
          <w:szCs w:val="22"/>
        </w:rPr>
        <w:t>citizens</w:t>
      </w:r>
      <w:r w:rsidR="00BF036E" w:rsidRPr="009E6BD3">
        <w:rPr>
          <w:rFonts w:ascii="Cambria" w:hAnsi="Cambria"/>
          <w:sz w:val="22"/>
          <w:szCs w:val="22"/>
        </w:rPr>
        <w:t>’</w:t>
      </w:r>
      <w:r w:rsidRPr="009E6BD3">
        <w:rPr>
          <w:rFonts w:ascii="Cambria" w:hAnsi="Cambria"/>
          <w:sz w:val="22"/>
          <w:szCs w:val="22"/>
        </w:rPr>
        <w:t xml:space="preserve"> satisfaction with its services </w:t>
      </w:r>
      <w:r w:rsidR="00430936" w:rsidRPr="009E6BD3">
        <w:rPr>
          <w:rFonts w:ascii="Cambria" w:hAnsi="Cambria"/>
          <w:sz w:val="22"/>
          <w:szCs w:val="22"/>
        </w:rPr>
        <w:t xml:space="preserve">and inform </w:t>
      </w:r>
      <w:r w:rsidR="00064C7B" w:rsidRPr="009E6BD3">
        <w:rPr>
          <w:rFonts w:ascii="Cambria" w:hAnsi="Cambria"/>
          <w:sz w:val="22"/>
          <w:szCs w:val="22"/>
        </w:rPr>
        <w:t xml:space="preserve">its </w:t>
      </w:r>
      <w:r w:rsidR="00430936" w:rsidRPr="009E6BD3">
        <w:rPr>
          <w:rFonts w:ascii="Cambria" w:hAnsi="Cambria"/>
          <w:sz w:val="22"/>
          <w:szCs w:val="22"/>
        </w:rPr>
        <w:t>planning</w:t>
      </w:r>
      <w:r w:rsidR="00204390" w:rsidRPr="009E6BD3">
        <w:rPr>
          <w:rFonts w:ascii="Cambria" w:hAnsi="Cambria"/>
          <w:sz w:val="22"/>
          <w:szCs w:val="22"/>
        </w:rPr>
        <w:t xml:space="preserve"> [1]</w:t>
      </w:r>
      <w:r w:rsidRPr="009E6BD3">
        <w:rPr>
          <w:rFonts w:ascii="Cambria" w:hAnsi="Cambria"/>
          <w:sz w:val="22"/>
          <w:szCs w:val="22"/>
        </w:rPr>
        <w:t>.</w:t>
      </w:r>
      <w:r w:rsidR="00E54D68" w:rsidRPr="009E6BD3">
        <w:rPr>
          <w:rFonts w:ascii="Cambria" w:hAnsi="Cambria"/>
          <w:sz w:val="22"/>
          <w:szCs w:val="22"/>
        </w:rPr>
        <w:t xml:space="preserve"> </w:t>
      </w:r>
      <w:r w:rsidRPr="009E6BD3">
        <w:rPr>
          <w:rFonts w:ascii="Cambria" w:hAnsi="Cambria"/>
          <w:sz w:val="22"/>
          <w:szCs w:val="22"/>
        </w:rPr>
        <w:t xml:space="preserve">In fall 2018, </w:t>
      </w:r>
      <w:r w:rsidR="00204390" w:rsidRPr="009E6BD3">
        <w:rPr>
          <w:rFonts w:ascii="Cambria" w:hAnsi="Cambria"/>
          <w:sz w:val="22"/>
          <w:szCs w:val="22"/>
        </w:rPr>
        <w:t xml:space="preserve">TBPS </w:t>
      </w:r>
      <w:r w:rsidRPr="009E6BD3">
        <w:rPr>
          <w:rFonts w:ascii="Cambria" w:hAnsi="Cambria"/>
          <w:sz w:val="22"/>
          <w:szCs w:val="22"/>
        </w:rPr>
        <w:t>Senior Manage</w:t>
      </w:r>
      <w:r w:rsidR="00204390" w:rsidRPr="009E6BD3">
        <w:rPr>
          <w:rFonts w:ascii="Cambria" w:hAnsi="Cambria"/>
          <w:sz w:val="22"/>
          <w:szCs w:val="22"/>
        </w:rPr>
        <w:t xml:space="preserve">rs </w:t>
      </w:r>
      <w:r w:rsidRPr="009E6BD3">
        <w:rPr>
          <w:rFonts w:ascii="Cambria" w:hAnsi="Cambria"/>
          <w:sz w:val="22"/>
          <w:szCs w:val="22"/>
        </w:rPr>
        <w:t>and Dr. Leisa Desmoulins (Lakehead University) re-designed the CSS</w:t>
      </w:r>
      <w:r w:rsidR="00E54D68" w:rsidRPr="009E6BD3">
        <w:rPr>
          <w:rFonts w:ascii="Cambria" w:hAnsi="Cambria"/>
          <w:sz w:val="22"/>
          <w:szCs w:val="22"/>
        </w:rPr>
        <w:t xml:space="preserve"> (2018)</w:t>
      </w:r>
      <w:r w:rsidR="00BE1123" w:rsidRPr="009E6BD3">
        <w:rPr>
          <w:rFonts w:ascii="Cambria" w:hAnsi="Cambria"/>
          <w:sz w:val="22"/>
          <w:szCs w:val="22"/>
        </w:rPr>
        <w:t xml:space="preserve"> </w:t>
      </w:r>
      <w:r w:rsidR="004E303D" w:rsidRPr="009E6BD3">
        <w:rPr>
          <w:rFonts w:ascii="Cambria" w:hAnsi="Cambria"/>
          <w:sz w:val="22"/>
          <w:szCs w:val="22"/>
        </w:rPr>
        <w:t>to</w:t>
      </w:r>
      <w:r w:rsidR="004F4E58" w:rsidRPr="009E6BD3">
        <w:rPr>
          <w:rFonts w:ascii="Cambria" w:hAnsi="Cambria"/>
          <w:sz w:val="22"/>
          <w:szCs w:val="22"/>
        </w:rPr>
        <w:t xml:space="preserve"> </w:t>
      </w:r>
      <w:r w:rsidR="00430936" w:rsidRPr="009E6BD3">
        <w:rPr>
          <w:rFonts w:ascii="Cambria" w:hAnsi="Cambria"/>
          <w:sz w:val="22"/>
          <w:szCs w:val="22"/>
        </w:rPr>
        <w:t xml:space="preserve">gain </w:t>
      </w:r>
      <w:r w:rsidR="00BE1123" w:rsidRPr="009E6BD3">
        <w:rPr>
          <w:rFonts w:ascii="Cambria" w:hAnsi="Cambria"/>
          <w:sz w:val="22"/>
          <w:szCs w:val="22"/>
        </w:rPr>
        <w:t>broader</w:t>
      </w:r>
      <w:r w:rsidR="00430936" w:rsidRPr="009E6BD3">
        <w:rPr>
          <w:rFonts w:ascii="Cambria" w:hAnsi="Cambria"/>
          <w:sz w:val="22"/>
          <w:szCs w:val="22"/>
        </w:rPr>
        <w:t xml:space="preserve"> insights into citizens’ experiences and perceptions of the TBPS</w:t>
      </w:r>
      <w:r w:rsidR="00CF3461" w:rsidRPr="009E6BD3">
        <w:rPr>
          <w:rFonts w:ascii="Cambria" w:hAnsi="Cambria"/>
          <w:sz w:val="22"/>
          <w:szCs w:val="22"/>
        </w:rPr>
        <w:t xml:space="preserve">. </w:t>
      </w:r>
      <w:r w:rsidR="00BE1123" w:rsidRPr="009E6BD3">
        <w:rPr>
          <w:rFonts w:ascii="Cambria" w:hAnsi="Cambria"/>
          <w:sz w:val="22"/>
          <w:szCs w:val="22"/>
        </w:rPr>
        <w:t xml:space="preserve">This pilot study </w:t>
      </w:r>
      <w:r w:rsidR="00064C7B" w:rsidRPr="009E6BD3">
        <w:rPr>
          <w:rFonts w:ascii="Cambria" w:hAnsi="Cambria"/>
          <w:sz w:val="22"/>
          <w:szCs w:val="22"/>
        </w:rPr>
        <w:t>sought</w:t>
      </w:r>
      <w:r w:rsidR="00BE1123" w:rsidRPr="009E6BD3">
        <w:rPr>
          <w:rFonts w:ascii="Cambria" w:hAnsi="Cambria"/>
          <w:sz w:val="22"/>
          <w:szCs w:val="22"/>
        </w:rPr>
        <w:t xml:space="preserve"> to</w:t>
      </w:r>
      <w:r w:rsidR="00CF3461" w:rsidRPr="009E6BD3">
        <w:rPr>
          <w:rFonts w:ascii="Cambria" w:hAnsi="Cambria"/>
          <w:sz w:val="22"/>
          <w:szCs w:val="22"/>
        </w:rPr>
        <w:t>:</w:t>
      </w:r>
      <w:r w:rsidRPr="009E6BD3">
        <w:rPr>
          <w:rFonts w:ascii="Cambria" w:hAnsi="Cambria"/>
          <w:sz w:val="22"/>
          <w:szCs w:val="22"/>
        </w:rPr>
        <w:t xml:space="preserve"> </w:t>
      </w:r>
      <w:r w:rsidR="004F4E58" w:rsidRPr="009E6BD3">
        <w:rPr>
          <w:rFonts w:ascii="Cambria" w:hAnsi="Cambria"/>
          <w:sz w:val="22"/>
          <w:szCs w:val="22"/>
        </w:rPr>
        <w:t xml:space="preserve">1. </w:t>
      </w:r>
      <w:r w:rsidRPr="009E6BD3">
        <w:rPr>
          <w:rFonts w:ascii="Cambria" w:hAnsi="Cambria"/>
          <w:sz w:val="22"/>
          <w:szCs w:val="22"/>
        </w:rPr>
        <w:t xml:space="preserve">attract non-typical respondents </w:t>
      </w:r>
      <w:r w:rsidR="00BE1123" w:rsidRPr="009E6BD3">
        <w:rPr>
          <w:rFonts w:ascii="Cambria" w:hAnsi="Cambria"/>
          <w:sz w:val="22"/>
          <w:szCs w:val="22"/>
        </w:rPr>
        <w:t>by adding an in-person format</w:t>
      </w:r>
      <w:r w:rsidR="0060502F" w:rsidRPr="009E6BD3">
        <w:rPr>
          <w:rFonts w:ascii="Cambria" w:hAnsi="Cambria"/>
          <w:sz w:val="22"/>
          <w:szCs w:val="22"/>
        </w:rPr>
        <w:t xml:space="preserve"> </w:t>
      </w:r>
      <w:r w:rsidR="00E64F78">
        <w:rPr>
          <w:rFonts w:ascii="Cambria" w:hAnsi="Cambria"/>
          <w:sz w:val="22"/>
          <w:szCs w:val="22"/>
        </w:rPr>
        <w:t>to</w:t>
      </w:r>
      <w:r w:rsidR="0060502F" w:rsidRPr="009E6BD3">
        <w:rPr>
          <w:rFonts w:ascii="Cambria" w:hAnsi="Cambria"/>
          <w:sz w:val="22"/>
          <w:szCs w:val="22"/>
        </w:rPr>
        <w:t xml:space="preserve"> the survey</w:t>
      </w:r>
      <w:r w:rsidR="00CF3461" w:rsidRPr="009E6BD3">
        <w:rPr>
          <w:rFonts w:ascii="Cambria" w:hAnsi="Cambria"/>
          <w:sz w:val="22"/>
          <w:szCs w:val="22"/>
        </w:rPr>
        <w:t xml:space="preserve">; </w:t>
      </w:r>
      <w:r w:rsidR="004F4E58" w:rsidRPr="009E6BD3">
        <w:rPr>
          <w:rFonts w:ascii="Cambria" w:hAnsi="Cambria"/>
          <w:sz w:val="22"/>
          <w:szCs w:val="22"/>
        </w:rPr>
        <w:t xml:space="preserve">2. </w:t>
      </w:r>
      <w:r w:rsidR="00E54D68" w:rsidRPr="009E6BD3">
        <w:rPr>
          <w:rFonts w:ascii="Cambria" w:hAnsi="Cambria"/>
          <w:sz w:val="22"/>
          <w:szCs w:val="22"/>
        </w:rPr>
        <w:t xml:space="preserve">add trust and confidence </w:t>
      </w:r>
      <w:r w:rsidR="00CF3461" w:rsidRPr="009E6BD3">
        <w:rPr>
          <w:rFonts w:ascii="Cambria" w:hAnsi="Cambria"/>
          <w:sz w:val="22"/>
          <w:szCs w:val="22"/>
        </w:rPr>
        <w:t xml:space="preserve">statements </w:t>
      </w:r>
      <w:r w:rsidR="00BE1123" w:rsidRPr="009E6BD3">
        <w:rPr>
          <w:rFonts w:ascii="Cambria" w:hAnsi="Cambria"/>
          <w:sz w:val="22"/>
          <w:szCs w:val="22"/>
        </w:rPr>
        <w:t xml:space="preserve">to </w:t>
      </w:r>
      <w:r w:rsidR="00064C7B" w:rsidRPr="009E6BD3">
        <w:rPr>
          <w:rFonts w:ascii="Cambria" w:hAnsi="Cambria"/>
          <w:sz w:val="22"/>
          <w:szCs w:val="22"/>
        </w:rPr>
        <w:t>augment</w:t>
      </w:r>
      <w:r w:rsidR="00BE1123" w:rsidRPr="009E6BD3">
        <w:rPr>
          <w:rFonts w:ascii="Cambria" w:hAnsi="Cambria"/>
          <w:sz w:val="22"/>
          <w:szCs w:val="22"/>
        </w:rPr>
        <w:t xml:space="preserve"> data on satisfaction</w:t>
      </w:r>
      <w:r w:rsidR="00CF3461" w:rsidRPr="009E6BD3">
        <w:rPr>
          <w:rFonts w:ascii="Cambria" w:hAnsi="Cambria"/>
          <w:sz w:val="22"/>
          <w:szCs w:val="22"/>
        </w:rPr>
        <w:t xml:space="preserve">; </w:t>
      </w:r>
      <w:r w:rsidR="00502A50" w:rsidRPr="009E6BD3">
        <w:rPr>
          <w:rFonts w:ascii="Cambria" w:hAnsi="Cambria"/>
          <w:sz w:val="22"/>
          <w:szCs w:val="22"/>
        </w:rPr>
        <w:t xml:space="preserve">and 3. </w:t>
      </w:r>
      <w:r w:rsidR="00064C7B" w:rsidRPr="009E6BD3">
        <w:rPr>
          <w:rFonts w:ascii="Cambria" w:hAnsi="Cambria"/>
          <w:sz w:val="22"/>
          <w:szCs w:val="22"/>
        </w:rPr>
        <w:t>refine</w:t>
      </w:r>
      <w:r w:rsidR="00CF3461" w:rsidRPr="009E6BD3">
        <w:rPr>
          <w:rFonts w:ascii="Cambria" w:hAnsi="Cambria"/>
          <w:sz w:val="22"/>
          <w:szCs w:val="22"/>
        </w:rPr>
        <w:t xml:space="preserve"> </w:t>
      </w:r>
      <w:r w:rsidR="00E54D68" w:rsidRPr="009E6BD3">
        <w:rPr>
          <w:rFonts w:ascii="Cambria" w:hAnsi="Cambria"/>
          <w:sz w:val="22"/>
          <w:szCs w:val="22"/>
        </w:rPr>
        <w:t xml:space="preserve">demographic </w:t>
      </w:r>
      <w:r w:rsidR="00502A50" w:rsidRPr="009E6BD3">
        <w:rPr>
          <w:rFonts w:ascii="Cambria" w:hAnsi="Cambria"/>
          <w:sz w:val="22"/>
          <w:szCs w:val="22"/>
        </w:rPr>
        <w:t>data</w:t>
      </w:r>
      <w:r w:rsidR="004F4E58" w:rsidRPr="009E6BD3">
        <w:rPr>
          <w:rFonts w:ascii="Cambria" w:hAnsi="Cambria"/>
          <w:sz w:val="22"/>
          <w:szCs w:val="22"/>
        </w:rPr>
        <w:t xml:space="preserve"> </w:t>
      </w:r>
      <w:r w:rsidR="00BE1123" w:rsidRPr="009E6BD3">
        <w:rPr>
          <w:rFonts w:ascii="Cambria" w:hAnsi="Cambria"/>
          <w:sz w:val="22"/>
          <w:szCs w:val="22"/>
        </w:rPr>
        <w:t xml:space="preserve">to </w:t>
      </w:r>
      <w:r w:rsidR="003129F8" w:rsidRPr="009E6BD3">
        <w:rPr>
          <w:rFonts w:ascii="Cambria" w:hAnsi="Cambria"/>
          <w:sz w:val="22"/>
          <w:szCs w:val="22"/>
        </w:rPr>
        <w:t xml:space="preserve">discern </w:t>
      </w:r>
      <w:r w:rsidR="004F4E58" w:rsidRPr="009E6BD3">
        <w:rPr>
          <w:rFonts w:ascii="Cambria" w:hAnsi="Cambria"/>
          <w:sz w:val="22"/>
          <w:szCs w:val="22"/>
        </w:rPr>
        <w:t>variances among</w:t>
      </w:r>
      <w:r w:rsidR="00BE1123" w:rsidRPr="009E6BD3">
        <w:rPr>
          <w:rFonts w:ascii="Cambria" w:hAnsi="Cambria"/>
          <w:sz w:val="22"/>
          <w:szCs w:val="22"/>
        </w:rPr>
        <w:t>st</w:t>
      </w:r>
      <w:r w:rsidR="004F4E58" w:rsidRPr="009E6BD3">
        <w:rPr>
          <w:rFonts w:ascii="Cambria" w:hAnsi="Cambria"/>
          <w:sz w:val="22"/>
          <w:szCs w:val="22"/>
        </w:rPr>
        <w:t xml:space="preserve"> respondents</w:t>
      </w:r>
      <w:r w:rsidR="00064C7B" w:rsidRPr="009E6BD3">
        <w:rPr>
          <w:rFonts w:ascii="Cambria" w:hAnsi="Cambria"/>
          <w:sz w:val="22"/>
          <w:szCs w:val="22"/>
        </w:rPr>
        <w:t>, if any</w:t>
      </w:r>
      <w:r w:rsidRPr="009E6BD3">
        <w:rPr>
          <w:rFonts w:ascii="Cambria" w:hAnsi="Cambria"/>
          <w:sz w:val="22"/>
          <w:szCs w:val="22"/>
        </w:rPr>
        <w:t>.</w:t>
      </w:r>
      <w:r w:rsidR="003B0848" w:rsidRPr="009E6BD3">
        <w:rPr>
          <w:rFonts w:ascii="Cambria" w:hAnsi="Cambria"/>
          <w:sz w:val="22"/>
          <w:szCs w:val="22"/>
        </w:rPr>
        <w:t xml:space="preserve"> T</w:t>
      </w:r>
      <w:r w:rsidRPr="009E6BD3">
        <w:rPr>
          <w:rFonts w:ascii="Cambria" w:hAnsi="Cambria"/>
          <w:sz w:val="22"/>
          <w:szCs w:val="22"/>
        </w:rPr>
        <w:t xml:space="preserve">his report </w:t>
      </w:r>
      <w:r w:rsidR="004E303D" w:rsidRPr="009E6BD3">
        <w:rPr>
          <w:rFonts w:ascii="Cambria" w:hAnsi="Cambria"/>
          <w:sz w:val="22"/>
          <w:szCs w:val="22"/>
        </w:rPr>
        <w:t>compares</w:t>
      </w:r>
      <w:r w:rsidR="00430936" w:rsidRPr="009E6BD3">
        <w:rPr>
          <w:rFonts w:ascii="Cambria" w:hAnsi="Cambria"/>
          <w:sz w:val="22"/>
          <w:szCs w:val="22"/>
        </w:rPr>
        <w:t xml:space="preserve"> </w:t>
      </w:r>
      <w:r w:rsidR="0060502F" w:rsidRPr="009E6BD3">
        <w:rPr>
          <w:rFonts w:ascii="Cambria" w:hAnsi="Cambria"/>
          <w:sz w:val="22"/>
          <w:szCs w:val="22"/>
        </w:rPr>
        <w:t xml:space="preserve">online and in-person respondents for </w:t>
      </w:r>
      <w:r w:rsidR="003129F8" w:rsidRPr="009E6BD3">
        <w:rPr>
          <w:rFonts w:ascii="Cambria" w:hAnsi="Cambria"/>
          <w:sz w:val="22"/>
          <w:szCs w:val="22"/>
        </w:rPr>
        <w:t>demographic differences</w:t>
      </w:r>
      <w:r w:rsidR="00E64F78">
        <w:rPr>
          <w:rFonts w:ascii="Cambria" w:hAnsi="Cambria"/>
          <w:sz w:val="22"/>
          <w:szCs w:val="22"/>
        </w:rPr>
        <w:t>,</w:t>
      </w:r>
      <w:r w:rsidR="003129F8" w:rsidRPr="009E6BD3">
        <w:rPr>
          <w:rFonts w:ascii="Cambria" w:hAnsi="Cambria"/>
          <w:sz w:val="22"/>
          <w:szCs w:val="22"/>
        </w:rPr>
        <w:t xml:space="preserve"> </w:t>
      </w:r>
      <w:r w:rsidR="00E64F78">
        <w:rPr>
          <w:rFonts w:ascii="Cambria" w:hAnsi="Cambria"/>
          <w:sz w:val="22"/>
          <w:szCs w:val="22"/>
        </w:rPr>
        <w:t xml:space="preserve">experiences, </w:t>
      </w:r>
      <w:r w:rsidR="003129F8" w:rsidRPr="009E6BD3">
        <w:rPr>
          <w:rFonts w:ascii="Cambria" w:hAnsi="Cambria"/>
          <w:sz w:val="22"/>
          <w:szCs w:val="22"/>
        </w:rPr>
        <w:t xml:space="preserve">and </w:t>
      </w:r>
      <w:r w:rsidR="00430936" w:rsidRPr="009E6BD3">
        <w:rPr>
          <w:rFonts w:ascii="Cambria" w:hAnsi="Cambria"/>
          <w:sz w:val="22"/>
          <w:szCs w:val="22"/>
        </w:rPr>
        <w:t>results</w:t>
      </w:r>
      <w:r w:rsidR="009A3964" w:rsidRPr="009E6BD3">
        <w:rPr>
          <w:rFonts w:ascii="Cambria" w:hAnsi="Cambria"/>
          <w:sz w:val="22"/>
          <w:szCs w:val="22"/>
        </w:rPr>
        <w:t xml:space="preserve"> </w:t>
      </w:r>
      <w:r w:rsidR="0060502F" w:rsidRPr="009E6BD3">
        <w:rPr>
          <w:rFonts w:ascii="Cambria" w:hAnsi="Cambria"/>
          <w:sz w:val="22"/>
          <w:szCs w:val="22"/>
        </w:rPr>
        <w:t xml:space="preserve">on trust and confidence </w:t>
      </w:r>
      <w:r w:rsidR="00430936" w:rsidRPr="009E6BD3">
        <w:rPr>
          <w:rFonts w:ascii="Cambria" w:hAnsi="Cambria"/>
          <w:sz w:val="22"/>
          <w:szCs w:val="22"/>
        </w:rPr>
        <w:t xml:space="preserve">and </w:t>
      </w:r>
      <w:r w:rsidR="003129F8" w:rsidRPr="009E6BD3">
        <w:rPr>
          <w:rFonts w:ascii="Cambria" w:hAnsi="Cambria"/>
          <w:sz w:val="22"/>
          <w:szCs w:val="22"/>
        </w:rPr>
        <w:t xml:space="preserve">then </w:t>
      </w:r>
      <w:r w:rsidR="00BF036E" w:rsidRPr="009E6BD3">
        <w:rPr>
          <w:rFonts w:ascii="Cambria" w:hAnsi="Cambria"/>
          <w:sz w:val="22"/>
          <w:szCs w:val="22"/>
        </w:rPr>
        <w:t xml:space="preserve">makes </w:t>
      </w:r>
      <w:r w:rsidR="00CF3461" w:rsidRPr="009E6BD3">
        <w:rPr>
          <w:rFonts w:ascii="Cambria" w:hAnsi="Cambria"/>
          <w:sz w:val="22"/>
          <w:szCs w:val="22"/>
        </w:rPr>
        <w:t xml:space="preserve">recommendations </w:t>
      </w:r>
      <w:r w:rsidR="0060502F" w:rsidRPr="009E6BD3">
        <w:rPr>
          <w:rFonts w:ascii="Cambria" w:hAnsi="Cambria"/>
          <w:sz w:val="22"/>
          <w:szCs w:val="22"/>
        </w:rPr>
        <w:t>to the</w:t>
      </w:r>
      <w:r w:rsidR="00E54D68" w:rsidRPr="009E6BD3">
        <w:rPr>
          <w:rFonts w:ascii="Cambria" w:hAnsi="Cambria"/>
          <w:sz w:val="22"/>
          <w:szCs w:val="22"/>
        </w:rPr>
        <w:t xml:space="preserve"> TBP</w:t>
      </w:r>
      <w:r w:rsidR="00430936" w:rsidRPr="009E6BD3">
        <w:rPr>
          <w:rFonts w:ascii="Cambria" w:hAnsi="Cambria"/>
          <w:sz w:val="22"/>
          <w:szCs w:val="22"/>
        </w:rPr>
        <w:t>S</w:t>
      </w:r>
      <w:r w:rsidR="0060502F" w:rsidRPr="009E6BD3">
        <w:rPr>
          <w:rFonts w:ascii="Cambria" w:hAnsi="Cambria"/>
          <w:sz w:val="22"/>
          <w:szCs w:val="22"/>
        </w:rPr>
        <w:t xml:space="preserve"> for next steps to follow-up the CSS (2018) re-design</w:t>
      </w:r>
      <w:r w:rsidR="00E54D68" w:rsidRPr="009E6BD3">
        <w:rPr>
          <w:rFonts w:ascii="Cambria" w:hAnsi="Cambria"/>
          <w:sz w:val="22"/>
          <w:szCs w:val="22"/>
        </w:rPr>
        <w:t xml:space="preserve">. </w:t>
      </w:r>
    </w:p>
    <w:p w14:paraId="6DA359C6" w14:textId="2F24292F" w:rsidR="00416D34" w:rsidRPr="009E6BD3" w:rsidRDefault="00416D34" w:rsidP="00416D34">
      <w:pPr>
        <w:spacing w:line="480" w:lineRule="auto"/>
        <w:ind w:firstLine="720"/>
        <w:rPr>
          <w:rFonts w:ascii="Cambria" w:hAnsi="Cambria"/>
          <w:sz w:val="22"/>
          <w:szCs w:val="22"/>
        </w:rPr>
      </w:pPr>
      <w:r w:rsidRPr="009E6BD3">
        <w:rPr>
          <w:rFonts w:ascii="Cambria" w:hAnsi="Cambria"/>
          <w:sz w:val="22"/>
          <w:szCs w:val="22"/>
        </w:rPr>
        <w:t>Desmoulins gained approval from Lakehead University</w:t>
      </w:r>
      <w:r w:rsidR="006252D4" w:rsidRPr="009E6BD3">
        <w:rPr>
          <w:rFonts w:ascii="Cambria" w:hAnsi="Cambria"/>
          <w:sz w:val="22"/>
          <w:szCs w:val="22"/>
        </w:rPr>
        <w:t>’s</w:t>
      </w:r>
      <w:r w:rsidRPr="009E6BD3">
        <w:rPr>
          <w:rFonts w:ascii="Cambria" w:hAnsi="Cambria"/>
          <w:sz w:val="22"/>
          <w:szCs w:val="22"/>
        </w:rPr>
        <w:t xml:space="preserve"> Research Ethics Board</w:t>
      </w:r>
      <w:r w:rsidR="0060502F" w:rsidRPr="009E6BD3">
        <w:rPr>
          <w:rFonts w:ascii="Cambria" w:hAnsi="Cambria"/>
          <w:sz w:val="22"/>
          <w:szCs w:val="22"/>
        </w:rPr>
        <w:t xml:space="preserve"> for the survey</w:t>
      </w:r>
      <w:r w:rsidRPr="009E6BD3">
        <w:rPr>
          <w:rFonts w:ascii="Cambria" w:hAnsi="Cambria"/>
          <w:sz w:val="22"/>
          <w:szCs w:val="22"/>
        </w:rPr>
        <w:t xml:space="preserve">. </w:t>
      </w:r>
      <w:r w:rsidR="0060502F" w:rsidRPr="009E6BD3">
        <w:rPr>
          <w:rFonts w:ascii="Cambria" w:hAnsi="Cambria"/>
          <w:sz w:val="22"/>
          <w:szCs w:val="22"/>
        </w:rPr>
        <w:t>Then the TBPS advertised its CSS (2018) through local and regional media sites [</w:t>
      </w:r>
      <w:r w:rsidR="003129F8" w:rsidRPr="009E6BD3">
        <w:rPr>
          <w:rFonts w:ascii="Cambria" w:hAnsi="Cambria"/>
          <w:sz w:val="22"/>
          <w:szCs w:val="22"/>
        </w:rPr>
        <w:t>2</w:t>
      </w:r>
      <w:r w:rsidR="0060502F" w:rsidRPr="009E6BD3">
        <w:rPr>
          <w:rFonts w:ascii="Cambria" w:hAnsi="Cambria"/>
          <w:sz w:val="22"/>
          <w:szCs w:val="22"/>
        </w:rPr>
        <w:t>]. Desmoulins developed and conducted online surveys using Survey Monkey software. Next, s</w:t>
      </w:r>
      <w:r w:rsidRPr="009E6BD3">
        <w:rPr>
          <w:rFonts w:ascii="Cambria" w:hAnsi="Cambria"/>
          <w:sz w:val="22"/>
          <w:szCs w:val="22"/>
        </w:rPr>
        <w:t xml:space="preserve">he trained graduate students </w:t>
      </w:r>
      <w:r w:rsidR="00716914" w:rsidRPr="009E6BD3">
        <w:rPr>
          <w:rFonts w:ascii="Cambria" w:hAnsi="Cambria"/>
          <w:sz w:val="22"/>
          <w:szCs w:val="22"/>
        </w:rPr>
        <w:t>to conduct</w:t>
      </w:r>
      <w:r w:rsidRPr="009E6BD3">
        <w:rPr>
          <w:rFonts w:ascii="Cambria" w:hAnsi="Cambria"/>
          <w:sz w:val="22"/>
          <w:szCs w:val="22"/>
        </w:rPr>
        <w:t xml:space="preserve"> in-person survey</w:t>
      </w:r>
      <w:r w:rsidR="00716914" w:rsidRPr="009E6BD3">
        <w:rPr>
          <w:rFonts w:ascii="Cambria" w:hAnsi="Cambria"/>
          <w:sz w:val="22"/>
          <w:szCs w:val="22"/>
        </w:rPr>
        <w:t>s</w:t>
      </w:r>
      <w:r w:rsidR="00204390" w:rsidRPr="009E6BD3">
        <w:rPr>
          <w:rFonts w:ascii="Cambria" w:hAnsi="Cambria"/>
          <w:sz w:val="22"/>
          <w:szCs w:val="22"/>
        </w:rPr>
        <w:t xml:space="preserve">. </w:t>
      </w:r>
      <w:r w:rsidR="004E303D" w:rsidRPr="009E6BD3">
        <w:rPr>
          <w:rFonts w:ascii="Cambria" w:hAnsi="Cambria"/>
          <w:sz w:val="22"/>
          <w:szCs w:val="22"/>
        </w:rPr>
        <w:t>Both s</w:t>
      </w:r>
      <w:r w:rsidRPr="009E6BD3">
        <w:rPr>
          <w:rFonts w:ascii="Cambria" w:hAnsi="Cambria"/>
          <w:sz w:val="22"/>
          <w:szCs w:val="22"/>
        </w:rPr>
        <w:t xml:space="preserve">urvey formats </w:t>
      </w:r>
      <w:r w:rsidR="004E303D" w:rsidRPr="009E6BD3">
        <w:rPr>
          <w:rFonts w:ascii="Cambria" w:hAnsi="Cambria"/>
          <w:sz w:val="22"/>
          <w:szCs w:val="22"/>
        </w:rPr>
        <w:t>used</w:t>
      </w:r>
      <w:r w:rsidRPr="009E6BD3">
        <w:rPr>
          <w:rFonts w:ascii="Cambria" w:hAnsi="Cambria"/>
          <w:sz w:val="22"/>
          <w:szCs w:val="22"/>
        </w:rPr>
        <w:t xml:space="preserve"> the same questions, in the same order, and was open during the same time period (December 5</w:t>
      </w:r>
      <w:r w:rsidR="00204390" w:rsidRPr="009E6BD3">
        <w:rPr>
          <w:rFonts w:ascii="Cambria" w:hAnsi="Cambria"/>
          <w:sz w:val="22"/>
          <w:szCs w:val="22"/>
        </w:rPr>
        <w:t>-</w:t>
      </w:r>
      <w:r w:rsidRPr="009E6BD3">
        <w:rPr>
          <w:rFonts w:ascii="Cambria" w:hAnsi="Cambria"/>
          <w:sz w:val="22"/>
          <w:szCs w:val="22"/>
        </w:rPr>
        <w:t>19, 2018).</w:t>
      </w:r>
    </w:p>
    <w:p w14:paraId="2EB7EEB3" w14:textId="38EBE246" w:rsidR="00416D34" w:rsidRPr="009E6BD3" w:rsidRDefault="004E1715" w:rsidP="00416D34">
      <w:pPr>
        <w:spacing w:line="480" w:lineRule="auto"/>
        <w:ind w:firstLine="720"/>
        <w:rPr>
          <w:rFonts w:ascii="Cambria" w:hAnsi="Cambria"/>
          <w:sz w:val="22"/>
          <w:szCs w:val="22"/>
        </w:rPr>
      </w:pPr>
      <w:r w:rsidRPr="009E6BD3">
        <w:rPr>
          <w:rFonts w:ascii="Cambria" w:hAnsi="Cambria"/>
          <w:sz w:val="22"/>
          <w:szCs w:val="22"/>
        </w:rPr>
        <w:t xml:space="preserve">In </w:t>
      </w:r>
      <w:r w:rsidR="003B0848" w:rsidRPr="009E6BD3">
        <w:rPr>
          <w:rFonts w:ascii="Cambria" w:hAnsi="Cambria"/>
          <w:sz w:val="22"/>
          <w:szCs w:val="22"/>
        </w:rPr>
        <w:t>total</w:t>
      </w:r>
      <w:r w:rsidRPr="009E6BD3">
        <w:rPr>
          <w:rFonts w:ascii="Cambria" w:hAnsi="Cambria"/>
          <w:sz w:val="22"/>
          <w:szCs w:val="22"/>
        </w:rPr>
        <w:t>,</w:t>
      </w:r>
      <w:r w:rsidR="00416D34" w:rsidRPr="009E6BD3">
        <w:rPr>
          <w:rFonts w:ascii="Cambria" w:hAnsi="Cambria"/>
          <w:sz w:val="22"/>
          <w:szCs w:val="22"/>
        </w:rPr>
        <w:t xml:space="preserve"> 2250 citizens responded to online (N= 2038) and in-person (N=212) formats of the </w:t>
      </w:r>
      <w:r w:rsidR="005C393D" w:rsidRPr="009E6BD3">
        <w:rPr>
          <w:rFonts w:ascii="Cambria" w:hAnsi="Cambria"/>
          <w:sz w:val="22"/>
          <w:szCs w:val="22"/>
        </w:rPr>
        <w:t xml:space="preserve">2018 </w:t>
      </w:r>
      <w:r w:rsidR="00416D34" w:rsidRPr="009E6BD3">
        <w:rPr>
          <w:rFonts w:ascii="Cambria" w:hAnsi="Cambria"/>
          <w:sz w:val="22"/>
          <w:szCs w:val="22"/>
        </w:rPr>
        <w:t xml:space="preserve">CSS. </w:t>
      </w:r>
      <w:r w:rsidR="00270A55" w:rsidRPr="009E6BD3">
        <w:rPr>
          <w:rFonts w:ascii="Cambria" w:hAnsi="Cambria"/>
          <w:sz w:val="22"/>
          <w:szCs w:val="22"/>
        </w:rPr>
        <w:t>T</w:t>
      </w:r>
      <w:r w:rsidR="0060502F" w:rsidRPr="009E6BD3">
        <w:rPr>
          <w:rFonts w:ascii="Cambria" w:hAnsi="Cambria"/>
          <w:sz w:val="22"/>
          <w:szCs w:val="22"/>
        </w:rPr>
        <w:t xml:space="preserve">o compare these </w:t>
      </w:r>
      <w:r w:rsidR="00270A55" w:rsidRPr="009E6BD3">
        <w:rPr>
          <w:rFonts w:ascii="Cambria" w:hAnsi="Cambria"/>
          <w:sz w:val="22"/>
          <w:szCs w:val="22"/>
        </w:rPr>
        <w:t xml:space="preserve">two </w:t>
      </w:r>
      <w:r w:rsidR="00E64F78">
        <w:rPr>
          <w:rFonts w:ascii="Cambria" w:hAnsi="Cambria"/>
          <w:sz w:val="22"/>
          <w:szCs w:val="22"/>
        </w:rPr>
        <w:t xml:space="preserve">CSS </w:t>
      </w:r>
      <w:r w:rsidR="0060502F" w:rsidRPr="009E6BD3">
        <w:rPr>
          <w:rFonts w:ascii="Cambria" w:hAnsi="Cambria"/>
          <w:sz w:val="22"/>
          <w:szCs w:val="22"/>
        </w:rPr>
        <w:t>samples</w:t>
      </w:r>
      <w:r w:rsidR="00270A55" w:rsidRPr="009E6BD3">
        <w:rPr>
          <w:rFonts w:ascii="Cambria" w:hAnsi="Cambria"/>
          <w:sz w:val="22"/>
          <w:szCs w:val="22"/>
        </w:rPr>
        <w:t>, which have</w:t>
      </w:r>
      <w:r w:rsidR="0060502F" w:rsidRPr="009E6BD3">
        <w:rPr>
          <w:rFonts w:ascii="Cambria" w:hAnsi="Cambria"/>
          <w:sz w:val="22"/>
          <w:szCs w:val="22"/>
        </w:rPr>
        <w:t xml:space="preserve"> diverse numbers</w:t>
      </w:r>
      <w:r w:rsidR="00270A55" w:rsidRPr="009E6BD3">
        <w:rPr>
          <w:rFonts w:ascii="Cambria" w:hAnsi="Cambria"/>
          <w:sz w:val="22"/>
          <w:szCs w:val="22"/>
        </w:rPr>
        <w:t xml:space="preserve"> of respondents (2038 versus 212)</w:t>
      </w:r>
      <w:r w:rsidR="0060502F" w:rsidRPr="009E6BD3">
        <w:rPr>
          <w:rFonts w:ascii="Cambria" w:hAnsi="Cambria"/>
          <w:sz w:val="22"/>
          <w:szCs w:val="22"/>
        </w:rPr>
        <w:t xml:space="preserve">, results are shown in </w:t>
      </w:r>
      <w:r w:rsidR="00270A55" w:rsidRPr="009E6BD3">
        <w:rPr>
          <w:rFonts w:ascii="Cambria" w:hAnsi="Cambria"/>
          <w:sz w:val="22"/>
          <w:szCs w:val="22"/>
        </w:rPr>
        <w:t xml:space="preserve">percentages throughout this report. The samples differed demographically. </w:t>
      </w:r>
      <w:r w:rsidR="00270A55" w:rsidRPr="00766A5E">
        <w:rPr>
          <w:rFonts w:ascii="Cambria" w:hAnsi="Cambria"/>
          <w:sz w:val="22"/>
          <w:szCs w:val="22"/>
        </w:rPr>
        <w:t>O</w:t>
      </w:r>
      <w:r w:rsidR="00416D34" w:rsidRPr="00766A5E">
        <w:rPr>
          <w:rFonts w:ascii="Cambria" w:hAnsi="Cambria"/>
          <w:sz w:val="22"/>
          <w:szCs w:val="22"/>
        </w:rPr>
        <w:t xml:space="preserve">nline respondents identified </w:t>
      </w:r>
      <w:r w:rsidR="00766A5E" w:rsidRPr="00766A5E">
        <w:rPr>
          <w:rFonts w:ascii="Cambria" w:hAnsi="Cambria"/>
          <w:sz w:val="22"/>
          <w:szCs w:val="22"/>
        </w:rPr>
        <w:t>mostly</w:t>
      </w:r>
      <w:r w:rsidR="00416D34" w:rsidRPr="00766A5E">
        <w:rPr>
          <w:rFonts w:ascii="Cambria" w:hAnsi="Cambria"/>
          <w:sz w:val="22"/>
          <w:szCs w:val="22"/>
        </w:rPr>
        <w:t xml:space="preserve"> as white (76%) with few Indigenous respondents (</w:t>
      </w:r>
      <w:r w:rsidR="00096612">
        <w:rPr>
          <w:rFonts w:ascii="Cambria" w:hAnsi="Cambria"/>
          <w:sz w:val="22"/>
          <w:szCs w:val="22"/>
        </w:rPr>
        <w:t>9</w:t>
      </w:r>
      <w:r w:rsidR="00416D34" w:rsidRPr="00766A5E">
        <w:rPr>
          <w:rFonts w:ascii="Cambria" w:hAnsi="Cambria"/>
          <w:sz w:val="22"/>
          <w:szCs w:val="22"/>
        </w:rPr>
        <w:t xml:space="preserve">%). </w:t>
      </w:r>
      <w:r w:rsidR="00967456" w:rsidRPr="00766A5E">
        <w:rPr>
          <w:rFonts w:ascii="Cambria" w:hAnsi="Cambria"/>
          <w:sz w:val="22"/>
          <w:szCs w:val="22"/>
        </w:rPr>
        <w:t>In-person</w:t>
      </w:r>
      <w:r w:rsidR="00416D34" w:rsidRPr="00766A5E">
        <w:rPr>
          <w:rFonts w:ascii="Cambria" w:hAnsi="Cambria"/>
          <w:sz w:val="22"/>
          <w:szCs w:val="22"/>
        </w:rPr>
        <w:t xml:space="preserve"> respondents identified </w:t>
      </w:r>
      <w:r w:rsidR="00716914" w:rsidRPr="00766A5E">
        <w:rPr>
          <w:rFonts w:ascii="Cambria" w:hAnsi="Cambria"/>
          <w:sz w:val="22"/>
          <w:szCs w:val="22"/>
        </w:rPr>
        <w:t xml:space="preserve">as </w:t>
      </w:r>
      <w:r w:rsidR="00416D34" w:rsidRPr="00766A5E">
        <w:rPr>
          <w:rFonts w:ascii="Cambria" w:hAnsi="Cambria"/>
          <w:sz w:val="22"/>
          <w:szCs w:val="22"/>
        </w:rPr>
        <w:t xml:space="preserve">white (46%) and Indigenous (43%). Online respondents were </w:t>
      </w:r>
      <w:r w:rsidR="00766A5E" w:rsidRPr="00766A5E">
        <w:rPr>
          <w:rFonts w:ascii="Cambria" w:hAnsi="Cambria"/>
          <w:sz w:val="22"/>
          <w:szCs w:val="22"/>
        </w:rPr>
        <w:t xml:space="preserve">35 years and older </w:t>
      </w:r>
      <w:r w:rsidR="00416D34" w:rsidRPr="00766A5E">
        <w:rPr>
          <w:rFonts w:ascii="Cambria" w:hAnsi="Cambria"/>
          <w:sz w:val="22"/>
          <w:szCs w:val="22"/>
        </w:rPr>
        <w:t>(</w:t>
      </w:r>
      <w:r w:rsidR="00766A5E" w:rsidRPr="00766A5E">
        <w:rPr>
          <w:rFonts w:ascii="Cambria" w:hAnsi="Cambria"/>
          <w:sz w:val="22"/>
          <w:szCs w:val="22"/>
        </w:rPr>
        <w:t>75</w:t>
      </w:r>
      <w:r w:rsidR="00416D34" w:rsidRPr="00766A5E">
        <w:rPr>
          <w:rFonts w:ascii="Cambria" w:hAnsi="Cambria"/>
          <w:sz w:val="22"/>
          <w:szCs w:val="22"/>
        </w:rPr>
        <w:t>%)</w:t>
      </w:r>
      <w:r w:rsidR="00766A5E" w:rsidRPr="00766A5E">
        <w:rPr>
          <w:rFonts w:ascii="Cambria" w:hAnsi="Cambria"/>
          <w:sz w:val="22"/>
          <w:szCs w:val="22"/>
        </w:rPr>
        <w:t>:</w:t>
      </w:r>
      <w:r w:rsidR="00416D34" w:rsidRPr="00766A5E">
        <w:rPr>
          <w:rFonts w:ascii="Cambria" w:hAnsi="Cambria"/>
          <w:sz w:val="22"/>
          <w:szCs w:val="22"/>
        </w:rPr>
        <w:t xml:space="preserve"> </w:t>
      </w:r>
      <w:r w:rsidR="00967456" w:rsidRPr="00766A5E">
        <w:rPr>
          <w:rFonts w:ascii="Cambria" w:hAnsi="Cambria"/>
          <w:sz w:val="22"/>
          <w:szCs w:val="22"/>
        </w:rPr>
        <w:t>in-person</w:t>
      </w:r>
      <w:r w:rsidR="00416D34" w:rsidRPr="00766A5E">
        <w:rPr>
          <w:rFonts w:ascii="Cambria" w:hAnsi="Cambria"/>
          <w:sz w:val="22"/>
          <w:szCs w:val="22"/>
        </w:rPr>
        <w:t xml:space="preserve"> </w:t>
      </w:r>
      <w:r w:rsidR="00766A5E" w:rsidRPr="00766A5E">
        <w:rPr>
          <w:rFonts w:ascii="Cambria" w:hAnsi="Cambria"/>
          <w:sz w:val="22"/>
          <w:szCs w:val="22"/>
        </w:rPr>
        <w:t xml:space="preserve">were 35 years and younger </w:t>
      </w:r>
      <w:r w:rsidR="00416D34" w:rsidRPr="00766A5E">
        <w:rPr>
          <w:rFonts w:ascii="Cambria" w:hAnsi="Cambria"/>
          <w:sz w:val="22"/>
          <w:szCs w:val="22"/>
        </w:rPr>
        <w:t>(</w:t>
      </w:r>
      <w:r w:rsidR="00766A5E" w:rsidRPr="00766A5E">
        <w:rPr>
          <w:rFonts w:ascii="Cambria" w:hAnsi="Cambria"/>
          <w:sz w:val="22"/>
          <w:szCs w:val="22"/>
        </w:rPr>
        <w:t>5</w:t>
      </w:r>
      <w:r w:rsidR="00096612">
        <w:rPr>
          <w:rFonts w:ascii="Cambria" w:hAnsi="Cambria"/>
          <w:sz w:val="22"/>
          <w:szCs w:val="22"/>
        </w:rPr>
        <w:t>3</w:t>
      </w:r>
      <w:r w:rsidR="00416D34" w:rsidRPr="00766A5E">
        <w:rPr>
          <w:rFonts w:ascii="Cambria" w:hAnsi="Cambria"/>
          <w:sz w:val="22"/>
          <w:szCs w:val="22"/>
        </w:rPr>
        <w:t>%).</w:t>
      </w:r>
      <w:r w:rsidR="004E303D" w:rsidRPr="009E6BD3">
        <w:rPr>
          <w:rFonts w:ascii="Cambria" w:hAnsi="Cambria"/>
          <w:sz w:val="22"/>
          <w:szCs w:val="22"/>
        </w:rPr>
        <w:t xml:space="preserve"> </w:t>
      </w:r>
    </w:p>
    <w:p w14:paraId="67DAA956" w14:textId="5120E73F" w:rsidR="00416D34" w:rsidRPr="009E6BD3" w:rsidRDefault="00813D2B" w:rsidP="009B663D">
      <w:pPr>
        <w:spacing w:line="480" w:lineRule="auto"/>
        <w:ind w:firstLine="720"/>
        <w:rPr>
          <w:rFonts w:ascii="Cambria" w:hAnsi="Cambria"/>
          <w:sz w:val="22"/>
          <w:szCs w:val="22"/>
        </w:rPr>
      </w:pPr>
      <w:r w:rsidRPr="009E6BD3">
        <w:rPr>
          <w:rFonts w:ascii="Cambria" w:hAnsi="Cambria"/>
          <w:sz w:val="22"/>
          <w:szCs w:val="22"/>
        </w:rPr>
        <w:t>Key findings show</w:t>
      </w:r>
      <w:r w:rsidR="00B102AA" w:rsidRPr="009E6BD3">
        <w:rPr>
          <w:rFonts w:ascii="Cambria" w:hAnsi="Cambria"/>
          <w:sz w:val="22"/>
          <w:szCs w:val="22"/>
        </w:rPr>
        <w:t xml:space="preserve"> s</w:t>
      </w:r>
      <w:r w:rsidR="002A51ED" w:rsidRPr="009E6BD3">
        <w:rPr>
          <w:rFonts w:ascii="Cambria" w:hAnsi="Cambria"/>
          <w:sz w:val="22"/>
          <w:szCs w:val="22"/>
        </w:rPr>
        <w:t xml:space="preserve">trong </w:t>
      </w:r>
      <w:r w:rsidR="00967456" w:rsidRPr="009E6BD3">
        <w:rPr>
          <w:rFonts w:ascii="Cambria" w:hAnsi="Cambria"/>
          <w:sz w:val="22"/>
          <w:szCs w:val="22"/>
        </w:rPr>
        <w:t>similarities</w:t>
      </w:r>
      <w:r w:rsidR="00416D34" w:rsidRPr="009E6BD3">
        <w:rPr>
          <w:rFonts w:ascii="Cambria" w:hAnsi="Cambria"/>
          <w:sz w:val="22"/>
          <w:szCs w:val="22"/>
        </w:rPr>
        <w:t xml:space="preserve"> and </w:t>
      </w:r>
      <w:r w:rsidR="002A51ED" w:rsidRPr="009E6BD3">
        <w:rPr>
          <w:rFonts w:ascii="Cambria" w:hAnsi="Cambria"/>
          <w:sz w:val="22"/>
          <w:szCs w:val="22"/>
        </w:rPr>
        <w:t xml:space="preserve">stark </w:t>
      </w:r>
      <w:r w:rsidR="00416D34" w:rsidRPr="009E6BD3">
        <w:rPr>
          <w:rFonts w:ascii="Cambria" w:hAnsi="Cambria"/>
          <w:sz w:val="22"/>
          <w:szCs w:val="22"/>
        </w:rPr>
        <w:t>diffe</w:t>
      </w:r>
      <w:r w:rsidR="009B663D" w:rsidRPr="009E6BD3">
        <w:rPr>
          <w:rFonts w:ascii="Cambria" w:hAnsi="Cambria"/>
          <w:sz w:val="22"/>
          <w:szCs w:val="22"/>
        </w:rPr>
        <w:t xml:space="preserve">rences </w:t>
      </w:r>
      <w:r w:rsidR="00B11AFD" w:rsidRPr="009E6BD3">
        <w:rPr>
          <w:rFonts w:ascii="Cambria" w:hAnsi="Cambria"/>
          <w:sz w:val="22"/>
          <w:szCs w:val="22"/>
        </w:rPr>
        <w:t>between</w:t>
      </w:r>
      <w:r w:rsidR="00967456" w:rsidRPr="009E6BD3">
        <w:rPr>
          <w:rFonts w:ascii="Cambria" w:hAnsi="Cambria"/>
          <w:sz w:val="22"/>
          <w:szCs w:val="22"/>
        </w:rPr>
        <w:t xml:space="preserve"> </w:t>
      </w:r>
      <w:r w:rsidR="00710BB9" w:rsidRPr="009E6BD3">
        <w:rPr>
          <w:rFonts w:ascii="Cambria" w:hAnsi="Cambria"/>
          <w:sz w:val="22"/>
          <w:szCs w:val="22"/>
        </w:rPr>
        <w:t xml:space="preserve">online and in-person </w:t>
      </w:r>
      <w:r w:rsidR="009B663D" w:rsidRPr="009E6BD3">
        <w:rPr>
          <w:rFonts w:ascii="Cambria" w:hAnsi="Cambria"/>
          <w:sz w:val="22"/>
          <w:szCs w:val="22"/>
        </w:rPr>
        <w:t>respon</w:t>
      </w:r>
      <w:r w:rsidR="00710BB9" w:rsidRPr="009E6BD3">
        <w:rPr>
          <w:rFonts w:ascii="Cambria" w:hAnsi="Cambria"/>
          <w:sz w:val="22"/>
          <w:szCs w:val="22"/>
        </w:rPr>
        <w:t>dents</w:t>
      </w:r>
      <w:r w:rsidR="009B663D" w:rsidRPr="009E6BD3">
        <w:rPr>
          <w:rFonts w:ascii="Cambria" w:hAnsi="Cambria"/>
          <w:sz w:val="22"/>
          <w:szCs w:val="22"/>
        </w:rPr>
        <w:t>.</w:t>
      </w:r>
      <w:r w:rsidR="00710BB9" w:rsidRPr="009E6BD3">
        <w:rPr>
          <w:rFonts w:ascii="Cambria" w:hAnsi="Cambria"/>
          <w:sz w:val="22"/>
          <w:szCs w:val="22"/>
        </w:rPr>
        <w:t xml:space="preserve"> </w:t>
      </w:r>
      <w:r w:rsidR="0044076B">
        <w:rPr>
          <w:rFonts w:ascii="Cambria" w:hAnsi="Cambria"/>
          <w:sz w:val="22"/>
          <w:szCs w:val="22"/>
        </w:rPr>
        <w:t>R</w:t>
      </w:r>
      <w:r w:rsidR="00200329" w:rsidRPr="009E6BD3">
        <w:rPr>
          <w:rFonts w:ascii="Cambria" w:hAnsi="Cambria"/>
          <w:sz w:val="22"/>
          <w:szCs w:val="22"/>
        </w:rPr>
        <w:t>espondents showed</w:t>
      </w:r>
      <w:r w:rsidR="00416D34" w:rsidRPr="009E6BD3">
        <w:rPr>
          <w:rFonts w:ascii="Cambria" w:hAnsi="Cambria"/>
          <w:sz w:val="22"/>
          <w:szCs w:val="22"/>
        </w:rPr>
        <w:t xml:space="preserve"> </w:t>
      </w:r>
      <w:r w:rsidR="00270A55" w:rsidRPr="009E6BD3">
        <w:rPr>
          <w:rFonts w:ascii="Cambria" w:hAnsi="Cambria"/>
          <w:sz w:val="22"/>
          <w:szCs w:val="22"/>
        </w:rPr>
        <w:t xml:space="preserve">several </w:t>
      </w:r>
      <w:r w:rsidR="00416D34" w:rsidRPr="009E6BD3">
        <w:rPr>
          <w:rFonts w:ascii="Cambria" w:hAnsi="Cambria"/>
          <w:sz w:val="22"/>
          <w:szCs w:val="22"/>
        </w:rPr>
        <w:t>similarities</w:t>
      </w:r>
      <w:r w:rsidR="00E779BA" w:rsidRPr="009E6BD3">
        <w:rPr>
          <w:rFonts w:ascii="Cambria" w:hAnsi="Cambria"/>
          <w:sz w:val="22"/>
          <w:szCs w:val="22"/>
        </w:rPr>
        <w:t>, they</w:t>
      </w:r>
      <w:r w:rsidR="00416D34" w:rsidRPr="009E6BD3">
        <w:rPr>
          <w:rFonts w:ascii="Cambria" w:hAnsi="Cambria"/>
          <w:sz w:val="22"/>
          <w:szCs w:val="22"/>
        </w:rPr>
        <w:t xml:space="preserve">: </w:t>
      </w:r>
    </w:p>
    <w:p w14:paraId="56FF44E2" w14:textId="4303BE76" w:rsidR="00416D34" w:rsidRPr="009E6BD3" w:rsidRDefault="00967456" w:rsidP="00416D34">
      <w:pPr>
        <w:pStyle w:val="ListParagraph"/>
        <w:numPr>
          <w:ilvl w:val="0"/>
          <w:numId w:val="1"/>
        </w:numPr>
        <w:spacing w:after="0" w:line="480" w:lineRule="auto"/>
        <w:ind w:left="714" w:hanging="357"/>
        <w:rPr>
          <w:rFonts w:ascii="Cambria" w:hAnsi="Cambria"/>
        </w:rPr>
      </w:pPr>
      <w:r w:rsidRPr="009E6BD3">
        <w:rPr>
          <w:rFonts w:ascii="Cambria" w:hAnsi="Cambria"/>
        </w:rPr>
        <w:t>H</w:t>
      </w:r>
      <w:r w:rsidR="00416D34" w:rsidRPr="009E6BD3">
        <w:rPr>
          <w:rFonts w:ascii="Cambria" w:hAnsi="Cambria"/>
        </w:rPr>
        <w:t xml:space="preserve">ad contact with TBPS in the past year </w:t>
      </w:r>
      <w:r w:rsidRPr="009E6BD3">
        <w:rPr>
          <w:rFonts w:ascii="Cambria" w:hAnsi="Cambria"/>
        </w:rPr>
        <w:t xml:space="preserve">at similar percentages </w:t>
      </w:r>
      <w:r w:rsidR="00416D34" w:rsidRPr="009E6BD3">
        <w:rPr>
          <w:rFonts w:ascii="Cambria" w:hAnsi="Cambria"/>
        </w:rPr>
        <w:t xml:space="preserve">(57% online; 55% </w:t>
      </w:r>
      <w:r w:rsidRPr="009E6BD3">
        <w:rPr>
          <w:rFonts w:ascii="Cambria" w:hAnsi="Cambria"/>
        </w:rPr>
        <w:t>in-person</w:t>
      </w:r>
      <w:r w:rsidR="00416D34" w:rsidRPr="009E6BD3">
        <w:rPr>
          <w:rFonts w:ascii="Cambria" w:hAnsi="Cambria"/>
        </w:rPr>
        <w:t>)</w:t>
      </w:r>
    </w:p>
    <w:p w14:paraId="1A0285DE" w14:textId="1E81D0FD" w:rsidR="00416D34" w:rsidRPr="009E6BD3" w:rsidRDefault="004E303D" w:rsidP="00416D34">
      <w:pPr>
        <w:pStyle w:val="ListParagraph"/>
        <w:numPr>
          <w:ilvl w:val="0"/>
          <w:numId w:val="1"/>
        </w:numPr>
        <w:spacing w:after="0" w:line="480" w:lineRule="auto"/>
        <w:ind w:left="714" w:hanging="357"/>
        <w:rPr>
          <w:rFonts w:ascii="Cambria" w:hAnsi="Cambria"/>
        </w:rPr>
      </w:pPr>
      <w:r w:rsidRPr="009E6BD3">
        <w:rPr>
          <w:rFonts w:ascii="Cambria" w:hAnsi="Cambria"/>
        </w:rPr>
        <w:lastRenderedPageBreak/>
        <w:t>During</w:t>
      </w:r>
      <w:r w:rsidR="00416D34" w:rsidRPr="009E6BD3">
        <w:rPr>
          <w:rFonts w:ascii="Cambria" w:hAnsi="Cambria"/>
        </w:rPr>
        <w:t xml:space="preserve"> </w:t>
      </w:r>
      <w:r w:rsidR="00967456" w:rsidRPr="009E6BD3">
        <w:rPr>
          <w:rFonts w:ascii="Cambria" w:hAnsi="Cambria"/>
        </w:rPr>
        <w:t xml:space="preserve">this </w:t>
      </w:r>
      <w:r w:rsidR="00416D34" w:rsidRPr="009E6BD3">
        <w:rPr>
          <w:rFonts w:ascii="Cambria" w:hAnsi="Cambria"/>
        </w:rPr>
        <w:t>contact with TBPS, the</w:t>
      </w:r>
      <w:r w:rsidRPr="009E6BD3">
        <w:rPr>
          <w:rFonts w:ascii="Cambria" w:hAnsi="Cambria"/>
        </w:rPr>
        <w:t>y were</w:t>
      </w:r>
      <w:r w:rsidR="00416D34" w:rsidRPr="009E6BD3">
        <w:rPr>
          <w:rFonts w:ascii="Cambria" w:hAnsi="Cambria"/>
        </w:rPr>
        <w:t xml:space="preserve"> treated with respect (80% online; 80% </w:t>
      </w:r>
      <w:r w:rsidR="00967456" w:rsidRPr="009E6BD3">
        <w:rPr>
          <w:rFonts w:ascii="Cambria" w:hAnsi="Cambria"/>
        </w:rPr>
        <w:t>in-person</w:t>
      </w:r>
      <w:r w:rsidR="00416D34" w:rsidRPr="009E6BD3">
        <w:rPr>
          <w:rFonts w:ascii="Cambria" w:hAnsi="Cambria"/>
        </w:rPr>
        <w:t>)</w:t>
      </w:r>
    </w:p>
    <w:p w14:paraId="6DD66179" w14:textId="0886244E" w:rsidR="00416D34" w:rsidRPr="009E6BD3" w:rsidRDefault="0044076B" w:rsidP="00416D34">
      <w:pPr>
        <w:pStyle w:val="ListParagraph"/>
        <w:numPr>
          <w:ilvl w:val="0"/>
          <w:numId w:val="1"/>
        </w:numPr>
        <w:spacing w:after="0" w:line="480" w:lineRule="auto"/>
        <w:ind w:left="714" w:hanging="357"/>
        <w:rPr>
          <w:rFonts w:ascii="Cambria" w:hAnsi="Cambria"/>
        </w:rPr>
      </w:pPr>
      <w:r>
        <w:rPr>
          <w:rFonts w:ascii="Cambria" w:hAnsi="Cambria"/>
        </w:rPr>
        <w:t>P</w:t>
      </w:r>
      <w:r w:rsidR="00416D34" w:rsidRPr="009E6BD3">
        <w:rPr>
          <w:rFonts w:ascii="Cambria" w:hAnsi="Cambria"/>
        </w:rPr>
        <w:t xml:space="preserve">erceived Thunder Bay to be </w:t>
      </w:r>
      <w:r w:rsidR="00F06A2D">
        <w:rPr>
          <w:rFonts w:ascii="Cambria" w:hAnsi="Cambria"/>
        </w:rPr>
        <w:t xml:space="preserve">somewhat </w:t>
      </w:r>
      <w:r w:rsidR="00416D34" w:rsidRPr="009E6BD3">
        <w:rPr>
          <w:rFonts w:ascii="Cambria" w:hAnsi="Cambria"/>
        </w:rPr>
        <w:t xml:space="preserve">safe </w:t>
      </w:r>
      <w:r w:rsidR="00E64F78">
        <w:rPr>
          <w:rFonts w:ascii="Cambria" w:hAnsi="Cambria"/>
        </w:rPr>
        <w:t xml:space="preserve">overall </w:t>
      </w:r>
      <w:r w:rsidR="00993F8A" w:rsidRPr="00F06A2D">
        <w:rPr>
          <w:rFonts w:ascii="Cambria" w:hAnsi="Cambria"/>
        </w:rPr>
        <w:t>(</w:t>
      </w:r>
      <w:r w:rsidR="00F06A2D" w:rsidRPr="00F06A2D">
        <w:rPr>
          <w:rFonts w:ascii="Cambria" w:hAnsi="Cambria"/>
        </w:rPr>
        <w:t>39</w:t>
      </w:r>
      <w:r w:rsidR="00416D34" w:rsidRPr="00F06A2D">
        <w:rPr>
          <w:rFonts w:ascii="Cambria" w:hAnsi="Cambria"/>
        </w:rPr>
        <w:t xml:space="preserve">% online; </w:t>
      </w:r>
      <w:r w:rsidR="00F06A2D" w:rsidRPr="00F06A2D">
        <w:rPr>
          <w:rFonts w:ascii="Cambria" w:hAnsi="Cambria"/>
        </w:rPr>
        <w:t>31</w:t>
      </w:r>
      <w:r w:rsidR="00416D34" w:rsidRPr="00F06A2D">
        <w:rPr>
          <w:rFonts w:ascii="Cambria" w:hAnsi="Cambria"/>
        </w:rPr>
        <w:t xml:space="preserve">% </w:t>
      </w:r>
      <w:r w:rsidR="00967456" w:rsidRPr="00F06A2D">
        <w:rPr>
          <w:rFonts w:ascii="Cambria" w:hAnsi="Cambria"/>
        </w:rPr>
        <w:t>in-person</w:t>
      </w:r>
      <w:r w:rsidR="00416D34" w:rsidRPr="00F06A2D">
        <w:rPr>
          <w:rFonts w:ascii="Cambria" w:hAnsi="Cambria"/>
        </w:rPr>
        <w:t>).</w:t>
      </w:r>
      <w:r w:rsidR="00416D34" w:rsidRPr="009E6BD3">
        <w:rPr>
          <w:rFonts w:ascii="Cambria" w:hAnsi="Cambria"/>
        </w:rPr>
        <w:t xml:space="preserve"> </w:t>
      </w:r>
    </w:p>
    <w:p w14:paraId="54665844" w14:textId="391C8CDD" w:rsidR="00416D34" w:rsidRPr="009E6BD3" w:rsidRDefault="00E779BA" w:rsidP="00416D34">
      <w:pPr>
        <w:spacing w:line="480" w:lineRule="auto"/>
        <w:rPr>
          <w:rFonts w:ascii="Cambria" w:hAnsi="Cambria"/>
          <w:sz w:val="22"/>
          <w:szCs w:val="22"/>
        </w:rPr>
      </w:pPr>
      <w:r w:rsidRPr="009E6BD3">
        <w:rPr>
          <w:rFonts w:ascii="Cambria" w:hAnsi="Cambria"/>
          <w:sz w:val="22"/>
          <w:szCs w:val="22"/>
        </w:rPr>
        <w:t>S</w:t>
      </w:r>
      <w:r w:rsidR="00416D34" w:rsidRPr="009E6BD3">
        <w:rPr>
          <w:rFonts w:ascii="Cambria" w:hAnsi="Cambria"/>
          <w:sz w:val="22"/>
          <w:szCs w:val="22"/>
        </w:rPr>
        <w:t>ignificant</w:t>
      </w:r>
      <w:r w:rsidR="004E303D" w:rsidRPr="009E6BD3">
        <w:rPr>
          <w:rFonts w:ascii="Cambria" w:hAnsi="Cambria"/>
          <w:sz w:val="22"/>
          <w:szCs w:val="22"/>
        </w:rPr>
        <w:t>ly</w:t>
      </w:r>
      <w:r w:rsidRPr="009E6BD3">
        <w:rPr>
          <w:rFonts w:ascii="Cambria" w:hAnsi="Cambria"/>
          <w:sz w:val="22"/>
          <w:szCs w:val="22"/>
        </w:rPr>
        <w:t>,</w:t>
      </w:r>
      <w:r w:rsidR="00416D34" w:rsidRPr="009E6BD3">
        <w:rPr>
          <w:rFonts w:ascii="Cambria" w:hAnsi="Cambria"/>
          <w:sz w:val="22"/>
          <w:szCs w:val="22"/>
        </w:rPr>
        <w:t xml:space="preserve"> </w:t>
      </w:r>
      <w:r w:rsidRPr="009E6BD3">
        <w:rPr>
          <w:rFonts w:ascii="Cambria" w:hAnsi="Cambria"/>
          <w:sz w:val="22"/>
          <w:szCs w:val="22"/>
        </w:rPr>
        <w:t xml:space="preserve">over </w:t>
      </w:r>
      <w:r w:rsidR="00766A5E">
        <w:rPr>
          <w:rFonts w:ascii="Cambria" w:hAnsi="Cambria"/>
          <w:sz w:val="22"/>
          <w:szCs w:val="22"/>
        </w:rPr>
        <w:t>three quarters</w:t>
      </w:r>
      <w:r w:rsidRPr="009E6BD3">
        <w:rPr>
          <w:rFonts w:ascii="Cambria" w:hAnsi="Cambria"/>
          <w:sz w:val="22"/>
          <w:szCs w:val="22"/>
        </w:rPr>
        <w:t xml:space="preserve"> of </w:t>
      </w:r>
      <w:r w:rsidR="00416D34" w:rsidRPr="009E6BD3">
        <w:rPr>
          <w:rFonts w:ascii="Cambria" w:hAnsi="Cambria"/>
          <w:sz w:val="22"/>
          <w:szCs w:val="22"/>
        </w:rPr>
        <w:t xml:space="preserve">respondents from both </w:t>
      </w:r>
      <w:r w:rsidR="00E47247" w:rsidRPr="009E6BD3">
        <w:rPr>
          <w:rFonts w:ascii="Cambria" w:hAnsi="Cambria"/>
          <w:sz w:val="22"/>
          <w:szCs w:val="22"/>
        </w:rPr>
        <w:t>samples reported</w:t>
      </w:r>
      <w:r w:rsidR="00416D34" w:rsidRPr="009E6BD3">
        <w:rPr>
          <w:rFonts w:ascii="Cambria" w:hAnsi="Cambria"/>
          <w:sz w:val="22"/>
          <w:szCs w:val="22"/>
        </w:rPr>
        <w:t xml:space="preserve"> </w:t>
      </w:r>
      <w:r w:rsidR="004E303D" w:rsidRPr="009E6BD3">
        <w:rPr>
          <w:rFonts w:ascii="Cambria" w:hAnsi="Cambria"/>
          <w:sz w:val="22"/>
          <w:szCs w:val="22"/>
        </w:rPr>
        <w:t>being</w:t>
      </w:r>
      <w:r w:rsidR="00416D34" w:rsidRPr="009E6BD3">
        <w:rPr>
          <w:rFonts w:ascii="Cambria" w:hAnsi="Cambria"/>
          <w:sz w:val="22"/>
          <w:szCs w:val="22"/>
        </w:rPr>
        <w:t xml:space="preserve"> treated with respect </w:t>
      </w:r>
      <w:r w:rsidRPr="009E6BD3">
        <w:rPr>
          <w:rFonts w:ascii="Cambria" w:hAnsi="Cambria"/>
          <w:sz w:val="22"/>
          <w:szCs w:val="22"/>
        </w:rPr>
        <w:t>during</w:t>
      </w:r>
      <w:r w:rsidR="00416D34" w:rsidRPr="009E6BD3">
        <w:rPr>
          <w:rFonts w:ascii="Cambria" w:hAnsi="Cambria"/>
          <w:sz w:val="22"/>
          <w:szCs w:val="22"/>
        </w:rPr>
        <w:t xml:space="preserve"> </w:t>
      </w:r>
      <w:r w:rsidR="00B42C76" w:rsidRPr="009E6BD3">
        <w:rPr>
          <w:rFonts w:ascii="Cambria" w:hAnsi="Cambria"/>
          <w:sz w:val="22"/>
          <w:szCs w:val="22"/>
        </w:rPr>
        <w:t xml:space="preserve">their </w:t>
      </w:r>
      <w:r w:rsidR="00416D34" w:rsidRPr="009E6BD3">
        <w:rPr>
          <w:rFonts w:ascii="Cambria" w:hAnsi="Cambria"/>
          <w:sz w:val="22"/>
          <w:szCs w:val="22"/>
        </w:rPr>
        <w:t xml:space="preserve">contact with </w:t>
      </w:r>
      <w:r w:rsidRPr="009E6BD3">
        <w:rPr>
          <w:rFonts w:ascii="Cambria" w:hAnsi="Cambria"/>
          <w:sz w:val="22"/>
          <w:szCs w:val="22"/>
        </w:rPr>
        <w:t xml:space="preserve">officers and staff of the </w:t>
      </w:r>
      <w:r w:rsidR="00416D34" w:rsidRPr="009E6BD3">
        <w:rPr>
          <w:rFonts w:ascii="Cambria" w:hAnsi="Cambria"/>
          <w:sz w:val="22"/>
          <w:szCs w:val="22"/>
        </w:rPr>
        <w:t xml:space="preserve">TBPS within the previous year. </w:t>
      </w:r>
    </w:p>
    <w:p w14:paraId="7F3307DD" w14:textId="63C1ACB5" w:rsidR="002D3ACE" w:rsidRPr="009E6BD3" w:rsidRDefault="00416D34" w:rsidP="002D3ACE">
      <w:pPr>
        <w:spacing w:line="480" w:lineRule="auto"/>
        <w:ind w:firstLine="357"/>
        <w:rPr>
          <w:rFonts w:ascii="Cambria" w:hAnsi="Cambria"/>
          <w:sz w:val="22"/>
          <w:szCs w:val="22"/>
        </w:rPr>
      </w:pPr>
      <w:r w:rsidRPr="009E6BD3">
        <w:rPr>
          <w:rFonts w:ascii="Cambria" w:hAnsi="Cambria"/>
          <w:sz w:val="22"/>
          <w:szCs w:val="22"/>
        </w:rPr>
        <w:t>Yet, online and in-person respondents</w:t>
      </w:r>
      <w:r w:rsidR="00D02A04" w:rsidRPr="009E6BD3">
        <w:rPr>
          <w:rFonts w:ascii="Cambria" w:hAnsi="Cambria"/>
          <w:sz w:val="22"/>
          <w:szCs w:val="22"/>
        </w:rPr>
        <w:t xml:space="preserve"> also </w:t>
      </w:r>
      <w:r w:rsidR="00200329" w:rsidRPr="009E6BD3">
        <w:rPr>
          <w:rFonts w:ascii="Cambria" w:hAnsi="Cambria"/>
          <w:sz w:val="22"/>
          <w:szCs w:val="22"/>
        </w:rPr>
        <w:t xml:space="preserve">showed </w:t>
      </w:r>
      <w:r w:rsidRPr="009E6BD3">
        <w:rPr>
          <w:rFonts w:ascii="Cambria" w:hAnsi="Cambria"/>
          <w:sz w:val="22"/>
          <w:szCs w:val="22"/>
        </w:rPr>
        <w:t>differences</w:t>
      </w:r>
      <w:r w:rsidR="00E64F78">
        <w:rPr>
          <w:rFonts w:ascii="Cambria" w:hAnsi="Cambria"/>
          <w:sz w:val="22"/>
          <w:szCs w:val="22"/>
        </w:rPr>
        <w:t xml:space="preserve"> in t</w:t>
      </w:r>
      <w:r w:rsidR="000E1550">
        <w:rPr>
          <w:rFonts w:ascii="Cambria" w:hAnsi="Cambria"/>
          <w:sz w:val="22"/>
          <w:szCs w:val="22"/>
        </w:rPr>
        <w:t>rust and confidence</w:t>
      </w:r>
      <w:r w:rsidR="004E303D" w:rsidRPr="009E6BD3">
        <w:rPr>
          <w:rFonts w:ascii="Cambria" w:hAnsi="Cambria"/>
          <w:sz w:val="22"/>
          <w:szCs w:val="22"/>
        </w:rPr>
        <w:t xml:space="preserve">: </w:t>
      </w:r>
    </w:p>
    <w:p w14:paraId="0E207210" w14:textId="168BFDFF" w:rsidR="002D3ACE" w:rsidRDefault="002D3ACE" w:rsidP="00416D34">
      <w:pPr>
        <w:pStyle w:val="ListParagraph"/>
        <w:numPr>
          <w:ilvl w:val="0"/>
          <w:numId w:val="1"/>
        </w:numPr>
        <w:spacing w:after="0" w:line="480" w:lineRule="auto"/>
        <w:ind w:left="714" w:hanging="357"/>
        <w:rPr>
          <w:rFonts w:ascii="Cambria" w:hAnsi="Cambria"/>
        </w:rPr>
      </w:pPr>
      <w:r>
        <w:rPr>
          <w:rFonts w:ascii="Cambria" w:hAnsi="Cambria"/>
        </w:rPr>
        <w:t xml:space="preserve">Nearly half of online respondents (47%) strongly agreed that TBPS is sensitive to the needs of MY group: less than one quarter of in-person respondents strongly agreed </w:t>
      </w:r>
    </w:p>
    <w:p w14:paraId="1029B6CA" w14:textId="180B8CAC" w:rsidR="00416D34" w:rsidRPr="009E6BD3" w:rsidRDefault="00416D34" w:rsidP="00416D34">
      <w:pPr>
        <w:pStyle w:val="ListParagraph"/>
        <w:numPr>
          <w:ilvl w:val="0"/>
          <w:numId w:val="1"/>
        </w:numPr>
        <w:spacing w:after="0" w:line="480" w:lineRule="auto"/>
        <w:ind w:left="714" w:hanging="357"/>
        <w:rPr>
          <w:rFonts w:ascii="Cambria" w:hAnsi="Cambria"/>
        </w:rPr>
      </w:pPr>
      <w:r w:rsidRPr="009E6BD3">
        <w:rPr>
          <w:rFonts w:ascii="Cambria" w:hAnsi="Cambria"/>
        </w:rPr>
        <w:t>Slightly over half (52%) of online respondents perceive that TBPS does a good job of treating people fairly: slightly under a fifth of in-person respondents (19%) perceive that TBPS does a good job</w:t>
      </w:r>
    </w:p>
    <w:p w14:paraId="2B56282B" w14:textId="6D33E8ED" w:rsidR="00416D34" w:rsidRPr="009E6BD3" w:rsidRDefault="00416D34" w:rsidP="00416D34">
      <w:pPr>
        <w:pStyle w:val="ListParagraph"/>
        <w:numPr>
          <w:ilvl w:val="0"/>
          <w:numId w:val="1"/>
        </w:numPr>
        <w:spacing w:after="0" w:line="480" w:lineRule="auto"/>
        <w:rPr>
          <w:rFonts w:ascii="Cambria" w:hAnsi="Cambria"/>
        </w:rPr>
      </w:pPr>
      <w:r w:rsidRPr="009E6BD3">
        <w:rPr>
          <w:rFonts w:ascii="Cambria" w:hAnsi="Cambria"/>
        </w:rPr>
        <w:t xml:space="preserve">Over half of online respondents (56%) had a great deal of confidence in the TBPS: less than a quarter (23%) of in-person respondents had a great deal of confidence </w:t>
      </w:r>
      <w:r w:rsidR="00274A7C" w:rsidRPr="009E6BD3">
        <w:rPr>
          <w:rFonts w:ascii="Cambria" w:hAnsi="Cambria"/>
        </w:rPr>
        <w:t>in the TBPS</w:t>
      </w:r>
    </w:p>
    <w:p w14:paraId="6ED01B12" w14:textId="080CF1DD" w:rsidR="00791AE4" w:rsidRPr="009E6BD3" w:rsidRDefault="008A5FB8" w:rsidP="00BC045A">
      <w:pPr>
        <w:spacing w:line="480" w:lineRule="auto"/>
        <w:rPr>
          <w:rFonts w:ascii="Cambria" w:hAnsi="Cambria"/>
          <w:sz w:val="22"/>
          <w:szCs w:val="22"/>
        </w:rPr>
      </w:pPr>
      <w:r w:rsidRPr="009E6BD3">
        <w:rPr>
          <w:rFonts w:ascii="Cambria" w:hAnsi="Cambria"/>
          <w:sz w:val="22"/>
          <w:szCs w:val="22"/>
        </w:rPr>
        <w:t>Notably</w:t>
      </w:r>
      <w:r w:rsidR="00E779BA" w:rsidRPr="009E6BD3">
        <w:rPr>
          <w:rFonts w:ascii="Cambria" w:hAnsi="Cambria"/>
          <w:sz w:val="22"/>
          <w:szCs w:val="22"/>
        </w:rPr>
        <w:t>, i</w:t>
      </w:r>
      <w:r w:rsidR="00D813CF" w:rsidRPr="009E6BD3">
        <w:rPr>
          <w:rFonts w:ascii="Cambria" w:hAnsi="Cambria"/>
          <w:sz w:val="22"/>
          <w:szCs w:val="22"/>
        </w:rPr>
        <w:t xml:space="preserve">n-person respondents </w:t>
      </w:r>
      <w:r w:rsidR="00BC045A" w:rsidRPr="009E6BD3">
        <w:rPr>
          <w:rFonts w:ascii="Cambria" w:hAnsi="Cambria"/>
          <w:sz w:val="22"/>
          <w:szCs w:val="22"/>
        </w:rPr>
        <w:t>expressed</w:t>
      </w:r>
      <w:r w:rsidR="00D813CF" w:rsidRPr="009E6BD3">
        <w:rPr>
          <w:rFonts w:ascii="Cambria" w:hAnsi="Cambria"/>
          <w:sz w:val="22"/>
          <w:szCs w:val="22"/>
        </w:rPr>
        <w:t xml:space="preserve"> lower trust and confidence</w:t>
      </w:r>
      <w:r w:rsidR="00E779BA" w:rsidRPr="009E6BD3">
        <w:rPr>
          <w:rFonts w:ascii="Cambria" w:hAnsi="Cambria"/>
          <w:sz w:val="22"/>
          <w:szCs w:val="22"/>
        </w:rPr>
        <w:t xml:space="preserve">, by </w:t>
      </w:r>
      <w:r w:rsidR="00C30DDC">
        <w:rPr>
          <w:rFonts w:ascii="Cambria" w:hAnsi="Cambria"/>
          <w:sz w:val="22"/>
          <w:szCs w:val="22"/>
        </w:rPr>
        <w:t xml:space="preserve">a difference of </w:t>
      </w:r>
      <w:r w:rsidR="00E779BA" w:rsidRPr="009E6BD3">
        <w:rPr>
          <w:rFonts w:ascii="Cambria" w:hAnsi="Cambria"/>
          <w:sz w:val="22"/>
          <w:szCs w:val="22"/>
        </w:rPr>
        <w:t>33 percentage points</w:t>
      </w:r>
      <w:r w:rsidR="00C30DDC">
        <w:rPr>
          <w:rFonts w:ascii="Cambria" w:hAnsi="Cambria"/>
          <w:sz w:val="22"/>
          <w:szCs w:val="22"/>
        </w:rPr>
        <w:t xml:space="preserve"> </w:t>
      </w:r>
      <w:r w:rsidR="000E1550">
        <w:rPr>
          <w:rFonts w:ascii="Cambria" w:hAnsi="Cambria"/>
          <w:sz w:val="22"/>
          <w:szCs w:val="22"/>
        </w:rPr>
        <w:t>than</w:t>
      </w:r>
      <w:r w:rsidR="00C30DDC">
        <w:rPr>
          <w:rFonts w:ascii="Cambria" w:hAnsi="Cambria"/>
          <w:sz w:val="22"/>
          <w:szCs w:val="22"/>
        </w:rPr>
        <w:t xml:space="preserve"> online </w:t>
      </w:r>
      <w:r w:rsidR="000E1550">
        <w:rPr>
          <w:rFonts w:ascii="Cambria" w:hAnsi="Cambria"/>
          <w:sz w:val="22"/>
          <w:szCs w:val="22"/>
        </w:rPr>
        <w:t>respondents</w:t>
      </w:r>
      <w:r w:rsidR="00C30DDC">
        <w:rPr>
          <w:rFonts w:ascii="Cambria" w:hAnsi="Cambria"/>
          <w:sz w:val="22"/>
          <w:szCs w:val="22"/>
        </w:rPr>
        <w:t xml:space="preserve"> for treating people fairly</w:t>
      </w:r>
      <w:r w:rsidR="00F23AA1" w:rsidRPr="009E6BD3">
        <w:rPr>
          <w:rFonts w:ascii="Cambria" w:hAnsi="Cambria"/>
          <w:sz w:val="22"/>
          <w:szCs w:val="22"/>
        </w:rPr>
        <w:t>.</w:t>
      </w:r>
      <w:r w:rsidR="00274A7C" w:rsidRPr="009E6BD3">
        <w:rPr>
          <w:rFonts w:ascii="Cambria" w:hAnsi="Cambria"/>
          <w:sz w:val="22"/>
          <w:szCs w:val="22"/>
        </w:rPr>
        <w:t xml:space="preserve"> </w:t>
      </w:r>
    </w:p>
    <w:p w14:paraId="46FA785A" w14:textId="75A65F1F" w:rsidR="00416D34" w:rsidRPr="009E6BD3" w:rsidRDefault="00805192" w:rsidP="00791AE4">
      <w:pPr>
        <w:spacing w:line="480" w:lineRule="auto"/>
        <w:ind w:firstLine="720"/>
        <w:rPr>
          <w:rFonts w:ascii="Cambria" w:hAnsi="Cambria"/>
          <w:sz w:val="22"/>
          <w:szCs w:val="22"/>
        </w:rPr>
      </w:pPr>
      <w:r w:rsidRPr="009E6BD3">
        <w:rPr>
          <w:rFonts w:ascii="Cambria" w:hAnsi="Cambria"/>
          <w:sz w:val="22"/>
          <w:szCs w:val="22"/>
        </w:rPr>
        <w:t xml:space="preserve">In sum, </w:t>
      </w:r>
      <w:r w:rsidR="003B0848" w:rsidRPr="009E6BD3">
        <w:rPr>
          <w:rFonts w:ascii="Cambria" w:hAnsi="Cambria"/>
          <w:sz w:val="22"/>
          <w:szCs w:val="22"/>
        </w:rPr>
        <w:t>th</w:t>
      </w:r>
      <w:r w:rsidR="000E1550">
        <w:rPr>
          <w:rFonts w:ascii="Cambria" w:hAnsi="Cambria"/>
          <w:sz w:val="22"/>
          <w:szCs w:val="22"/>
        </w:rPr>
        <w:t>e</w:t>
      </w:r>
      <w:r w:rsidR="003B0848" w:rsidRPr="009E6BD3">
        <w:rPr>
          <w:rFonts w:ascii="Cambria" w:hAnsi="Cambria"/>
          <w:sz w:val="22"/>
          <w:szCs w:val="22"/>
        </w:rPr>
        <w:t xml:space="preserve"> CSS (2018)</w:t>
      </w:r>
      <w:r w:rsidRPr="009E6BD3">
        <w:rPr>
          <w:rFonts w:ascii="Cambria" w:hAnsi="Cambria"/>
          <w:sz w:val="22"/>
          <w:szCs w:val="22"/>
        </w:rPr>
        <w:t xml:space="preserve"> attracted younger and more racialized respondents via in-person surveying, added trust and confidence statements, and found variances amongst </w:t>
      </w:r>
      <w:r w:rsidR="003B0848" w:rsidRPr="009E6BD3">
        <w:rPr>
          <w:rFonts w:ascii="Cambria" w:hAnsi="Cambria"/>
          <w:sz w:val="22"/>
          <w:szCs w:val="22"/>
        </w:rPr>
        <w:t xml:space="preserve">online and in-person </w:t>
      </w:r>
      <w:r w:rsidRPr="009E6BD3">
        <w:rPr>
          <w:rFonts w:ascii="Cambria" w:hAnsi="Cambria"/>
          <w:sz w:val="22"/>
          <w:szCs w:val="22"/>
        </w:rPr>
        <w:t xml:space="preserve">respondents. </w:t>
      </w:r>
      <w:r w:rsidR="00061EF4" w:rsidRPr="009E6BD3">
        <w:rPr>
          <w:rFonts w:ascii="Cambria" w:hAnsi="Cambria"/>
          <w:sz w:val="22"/>
          <w:szCs w:val="22"/>
        </w:rPr>
        <w:t>The differences</w:t>
      </w:r>
      <w:r w:rsidR="00DD2600" w:rsidRPr="009E6BD3">
        <w:rPr>
          <w:rFonts w:ascii="Cambria" w:hAnsi="Cambria"/>
          <w:sz w:val="22"/>
          <w:szCs w:val="22"/>
        </w:rPr>
        <w:t xml:space="preserve"> </w:t>
      </w:r>
      <w:r w:rsidR="003B0848" w:rsidRPr="009E6BD3">
        <w:rPr>
          <w:rFonts w:ascii="Cambria" w:hAnsi="Cambria"/>
          <w:sz w:val="22"/>
          <w:szCs w:val="22"/>
        </w:rPr>
        <w:t xml:space="preserve">in findings </w:t>
      </w:r>
      <w:r w:rsidR="00BC045A" w:rsidRPr="009E6BD3">
        <w:rPr>
          <w:rFonts w:ascii="Cambria" w:hAnsi="Cambria"/>
          <w:sz w:val="22"/>
          <w:szCs w:val="22"/>
        </w:rPr>
        <w:t>may be attribut</w:t>
      </w:r>
      <w:r w:rsidR="00DD2600" w:rsidRPr="009E6BD3">
        <w:rPr>
          <w:rFonts w:ascii="Cambria" w:hAnsi="Cambria"/>
          <w:sz w:val="22"/>
          <w:szCs w:val="22"/>
        </w:rPr>
        <w:t>ed</w:t>
      </w:r>
      <w:r w:rsidR="00BC045A" w:rsidRPr="009E6BD3">
        <w:rPr>
          <w:rFonts w:ascii="Cambria" w:hAnsi="Cambria"/>
          <w:sz w:val="22"/>
          <w:szCs w:val="22"/>
        </w:rPr>
        <w:t xml:space="preserve"> to demographic</w:t>
      </w:r>
      <w:r w:rsidR="00DD2600" w:rsidRPr="009E6BD3">
        <w:rPr>
          <w:rFonts w:ascii="Cambria" w:hAnsi="Cambria"/>
          <w:sz w:val="22"/>
          <w:szCs w:val="22"/>
        </w:rPr>
        <w:t>s</w:t>
      </w:r>
      <w:r w:rsidR="00274A7C" w:rsidRPr="009E6BD3">
        <w:rPr>
          <w:rFonts w:ascii="Cambria" w:hAnsi="Cambria"/>
          <w:sz w:val="22"/>
          <w:szCs w:val="22"/>
        </w:rPr>
        <w:t xml:space="preserve">; however, this </w:t>
      </w:r>
      <w:r w:rsidRPr="009E6BD3">
        <w:rPr>
          <w:rFonts w:ascii="Cambria" w:hAnsi="Cambria"/>
          <w:sz w:val="22"/>
          <w:szCs w:val="22"/>
        </w:rPr>
        <w:t xml:space="preserve">hypothesis </w:t>
      </w:r>
      <w:r w:rsidR="00791AE4" w:rsidRPr="009E6BD3">
        <w:rPr>
          <w:rFonts w:ascii="Cambria" w:hAnsi="Cambria"/>
          <w:sz w:val="22"/>
          <w:szCs w:val="22"/>
        </w:rPr>
        <w:t xml:space="preserve">needs further </w:t>
      </w:r>
      <w:r w:rsidR="00DD2600" w:rsidRPr="009E6BD3">
        <w:rPr>
          <w:rFonts w:ascii="Cambria" w:hAnsi="Cambria"/>
          <w:sz w:val="22"/>
          <w:szCs w:val="22"/>
        </w:rPr>
        <w:t>study beyond th</w:t>
      </w:r>
      <w:r w:rsidR="00F23AA1" w:rsidRPr="009E6BD3">
        <w:rPr>
          <w:rFonts w:ascii="Cambria" w:hAnsi="Cambria"/>
          <w:sz w:val="22"/>
          <w:szCs w:val="22"/>
        </w:rPr>
        <w:t xml:space="preserve">e </w:t>
      </w:r>
      <w:r w:rsidR="003B0848" w:rsidRPr="009E6BD3">
        <w:rPr>
          <w:rFonts w:ascii="Cambria" w:hAnsi="Cambria"/>
          <w:sz w:val="22"/>
          <w:szCs w:val="22"/>
        </w:rPr>
        <w:t xml:space="preserve">CSS (2018) </w:t>
      </w:r>
      <w:r w:rsidR="00DD2600" w:rsidRPr="009E6BD3">
        <w:rPr>
          <w:rFonts w:ascii="Cambria" w:hAnsi="Cambria"/>
          <w:sz w:val="22"/>
          <w:szCs w:val="22"/>
        </w:rPr>
        <w:t>pilot testing</w:t>
      </w:r>
      <w:r w:rsidR="00BC045A" w:rsidRPr="009E6BD3">
        <w:rPr>
          <w:rFonts w:ascii="Cambria" w:hAnsi="Cambria"/>
          <w:sz w:val="22"/>
          <w:szCs w:val="22"/>
        </w:rPr>
        <w:t>.</w:t>
      </w:r>
      <w:r w:rsidR="00791AE4" w:rsidRPr="009E6BD3">
        <w:rPr>
          <w:rFonts w:ascii="Cambria" w:hAnsi="Cambria"/>
          <w:sz w:val="22"/>
          <w:szCs w:val="22"/>
        </w:rPr>
        <w:t xml:space="preserve"> </w:t>
      </w:r>
      <w:r w:rsidR="0028552D" w:rsidRPr="009E6BD3">
        <w:rPr>
          <w:rFonts w:ascii="Cambria" w:hAnsi="Cambria"/>
          <w:sz w:val="22"/>
          <w:szCs w:val="22"/>
        </w:rPr>
        <w:t>Given the</w:t>
      </w:r>
      <w:r w:rsidR="00003769" w:rsidRPr="009E6BD3">
        <w:rPr>
          <w:rFonts w:ascii="Cambria" w:hAnsi="Cambria"/>
          <w:sz w:val="22"/>
          <w:szCs w:val="22"/>
        </w:rPr>
        <w:t xml:space="preserve"> </w:t>
      </w:r>
      <w:r w:rsidR="00274A7C" w:rsidRPr="009E6BD3">
        <w:rPr>
          <w:rFonts w:ascii="Cambria" w:hAnsi="Cambria"/>
          <w:sz w:val="22"/>
          <w:szCs w:val="22"/>
        </w:rPr>
        <w:t>key findings</w:t>
      </w:r>
      <w:r w:rsidR="00DD2600" w:rsidRPr="009E6BD3">
        <w:rPr>
          <w:rFonts w:ascii="Cambria" w:hAnsi="Cambria"/>
          <w:sz w:val="22"/>
          <w:szCs w:val="22"/>
        </w:rPr>
        <w:t xml:space="preserve">, </w:t>
      </w:r>
      <w:r w:rsidR="0028552D" w:rsidRPr="009E6BD3">
        <w:rPr>
          <w:rFonts w:ascii="Cambria" w:hAnsi="Cambria"/>
          <w:sz w:val="22"/>
          <w:szCs w:val="22"/>
        </w:rPr>
        <w:t>r</w:t>
      </w:r>
      <w:r w:rsidR="00416D34" w:rsidRPr="009E6BD3">
        <w:rPr>
          <w:rFonts w:ascii="Cambria" w:hAnsi="Cambria"/>
          <w:sz w:val="22"/>
          <w:szCs w:val="22"/>
        </w:rPr>
        <w:t xml:space="preserve">esearchers </w:t>
      </w:r>
      <w:r w:rsidR="00BC045A" w:rsidRPr="009E6BD3">
        <w:rPr>
          <w:rFonts w:ascii="Cambria" w:hAnsi="Cambria"/>
          <w:sz w:val="22"/>
          <w:szCs w:val="22"/>
        </w:rPr>
        <w:t>recommend</w:t>
      </w:r>
      <w:r w:rsidR="00416D34" w:rsidRPr="009E6BD3">
        <w:rPr>
          <w:rFonts w:ascii="Cambria" w:hAnsi="Cambria"/>
          <w:sz w:val="22"/>
          <w:szCs w:val="22"/>
        </w:rPr>
        <w:t xml:space="preserve"> that</w:t>
      </w:r>
      <w:r w:rsidR="00003769" w:rsidRPr="009E6BD3">
        <w:rPr>
          <w:rFonts w:ascii="Cambria" w:hAnsi="Cambria"/>
          <w:sz w:val="22"/>
          <w:szCs w:val="22"/>
        </w:rPr>
        <w:t xml:space="preserve"> the TBPS</w:t>
      </w:r>
      <w:r w:rsidR="00416D34" w:rsidRPr="009E6BD3">
        <w:rPr>
          <w:rFonts w:ascii="Cambria" w:hAnsi="Cambria"/>
          <w:sz w:val="22"/>
          <w:szCs w:val="22"/>
        </w:rPr>
        <w:t xml:space="preserve">: </w:t>
      </w:r>
    </w:p>
    <w:p w14:paraId="11E7ECBD" w14:textId="3110925C" w:rsidR="00416D34" w:rsidRPr="009E6BD3" w:rsidRDefault="00416D34" w:rsidP="00416D34">
      <w:pPr>
        <w:spacing w:line="480" w:lineRule="auto"/>
        <w:ind w:firstLine="720"/>
        <w:rPr>
          <w:rFonts w:ascii="Cambria" w:hAnsi="Cambria"/>
          <w:sz w:val="22"/>
          <w:szCs w:val="22"/>
        </w:rPr>
      </w:pPr>
      <w:r w:rsidRPr="009E6BD3">
        <w:rPr>
          <w:rFonts w:ascii="Cambria" w:hAnsi="Cambria"/>
          <w:sz w:val="22"/>
          <w:szCs w:val="22"/>
        </w:rPr>
        <w:t xml:space="preserve">1. </w:t>
      </w:r>
      <w:r w:rsidR="00003769" w:rsidRPr="009E6BD3">
        <w:rPr>
          <w:rFonts w:ascii="Cambria" w:hAnsi="Cambria"/>
          <w:sz w:val="22"/>
          <w:szCs w:val="22"/>
        </w:rPr>
        <w:t>C</w:t>
      </w:r>
      <w:r w:rsidR="00F26920" w:rsidRPr="009E6BD3">
        <w:rPr>
          <w:rFonts w:ascii="Cambria" w:hAnsi="Cambria"/>
          <w:sz w:val="22"/>
          <w:szCs w:val="22"/>
        </w:rPr>
        <w:t>onsult</w:t>
      </w:r>
      <w:r w:rsidRPr="009E6BD3">
        <w:rPr>
          <w:rFonts w:ascii="Cambria" w:hAnsi="Cambria"/>
          <w:sz w:val="22"/>
          <w:szCs w:val="22"/>
        </w:rPr>
        <w:t xml:space="preserve"> with racialized youth </w:t>
      </w:r>
      <w:r w:rsidR="002D3ACE">
        <w:rPr>
          <w:rFonts w:ascii="Cambria" w:hAnsi="Cambria"/>
          <w:sz w:val="22"/>
          <w:szCs w:val="22"/>
        </w:rPr>
        <w:t>about</w:t>
      </w:r>
      <w:r w:rsidRPr="009E6BD3">
        <w:rPr>
          <w:rFonts w:ascii="Cambria" w:hAnsi="Cambria"/>
          <w:sz w:val="22"/>
          <w:szCs w:val="22"/>
        </w:rPr>
        <w:t xml:space="preserve"> </w:t>
      </w:r>
      <w:r w:rsidR="00F23AA1" w:rsidRPr="009E6BD3">
        <w:rPr>
          <w:rFonts w:ascii="Cambria" w:hAnsi="Cambria"/>
          <w:sz w:val="22"/>
          <w:szCs w:val="22"/>
        </w:rPr>
        <w:t>ways for the TBPS</w:t>
      </w:r>
      <w:r w:rsidRPr="009E6BD3">
        <w:rPr>
          <w:rFonts w:ascii="Cambria" w:hAnsi="Cambria"/>
          <w:sz w:val="22"/>
          <w:szCs w:val="22"/>
        </w:rPr>
        <w:t xml:space="preserve"> </w:t>
      </w:r>
      <w:r w:rsidR="00F26920" w:rsidRPr="009E6BD3">
        <w:rPr>
          <w:rFonts w:ascii="Cambria" w:hAnsi="Cambria"/>
          <w:sz w:val="22"/>
          <w:szCs w:val="22"/>
        </w:rPr>
        <w:t xml:space="preserve">to </w:t>
      </w:r>
      <w:r w:rsidR="00AA3EB8" w:rsidRPr="009E6BD3">
        <w:rPr>
          <w:rFonts w:ascii="Cambria" w:hAnsi="Cambria"/>
          <w:sz w:val="22"/>
          <w:szCs w:val="22"/>
        </w:rPr>
        <w:t>build</w:t>
      </w:r>
      <w:r w:rsidRPr="009E6BD3">
        <w:rPr>
          <w:rFonts w:ascii="Cambria" w:hAnsi="Cambria"/>
          <w:sz w:val="22"/>
          <w:szCs w:val="22"/>
        </w:rPr>
        <w:t xml:space="preserve"> trust </w:t>
      </w:r>
      <w:r w:rsidR="00AA3EB8" w:rsidRPr="009E6BD3">
        <w:rPr>
          <w:rFonts w:ascii="Cambria" w:hAnsi="Cambria"/>
          <w:sz w:val="22"/>
          <w:szCs w:val="22"/>
        </w:rPr>
        <w:t>with</w:t>
      </w:r>
      <w:r w:rsidRPr="009E6BD3">
        <w:rPr>
          <w:rFonts w:ascii="Cambria" w:hAnsi="Cambria"/>
          <w:sz w:val="22"/>
          <w:szCs w:val="22"/>
        </w:rPr>
        <w:t xml:space="preserve"> </w:t>
      </w:r>
      <w:r w:rsidR="00AA3EB8" w:rsidRPr="009E6BD3">
        <w:rPr>
          <w:rFonts w:ascii="Cambria" w:hAnsi="Cambria"/>
          <w:sz w:val="22"/>
          <w:szCs w:val="22"/>
        </w:rPr>
        <w:t>them</w:t>
      </w:r>
      <w:r w:rsidRPr="009E6BD3">
        <w:rPr>
          <w:rFonts w:ascii="Cambria" w:hAnsi="Cambria"/>
          <w:sz w:val="22"/>
          <w:szCs w:val="22"/>
        </w:rPr>
        <w:t xml:space="preserve">  </w:t>
      </w:r>
    </w:p>
    <w:p w14:paraId="0971D28D" w14:textId="2788AA5D" w:rsidR="00416D34" w:rsidRPr="009E6BD3" w:rsidRDefault="00416D34" w:rsidP="00416D34">
      <w:pPr>
        <w:spacing w:line="480" w:lineRule="auto"/>
        <w:ind w:firstLine="720"/>
        <w:rPr>
          <w:rFonts w:ascii="Cambria" w:hAnsi="Cambria"/>
          <w:sz w:val="22"/>
          <w:szCs w:val="22"/>
        </w:rPr>
      </w:pPr>
      <w:r w:rsidRPr="009E6BD3">
        <w:rPr>
          <w:rFonts w:ascii="Cambria" w:hAnsi="Cambria"/>
          <w:sz w:val="22"/>
          <w:szCs w:val="22"/>
        </w:rPr>
        <w:t xml:space="preserve">2. </w:t>
      </w:r>
      <w:r w:rsidR="00DD2600" w:rsidRPr="009E6BD3">
        <w:rPr>
          <w:rFonts w:ascii="Cambria" w:hAnsi="Cambria"/>
          <w:sz w:val="22"/>
          <w:szCs w:val="22"/>
        </w:rPr>
        <w:t xml:space="preserve">Repeat the CSS in 2019, seeking </w:t>
      </w:r>
      <w:r w:rsidR="00F26920" w:rsidRPr="009E6BD3">
        <w:rPr>
          <w:rFonts w:ascii="Cambria" w:hAnsi="Cambria"/>
          <w:sz w:val="22"/>
          <w:szCs w:val="22"/>
        </w:rPr>
        <w:t>a larger sample of</w:t>
      </w:r>
      <w:r w:rsidR="00DD2600" w:rsidRPr="009E6BD3">
        <w:rPr>
          <w:rFonts w:ascii="Cambria" w:hAnsi="Cambria"/>
          <w:sz w:val="22"/>
          <w:szCs w:val="22"/>
        </w:rPr>
        <w:t xml:space="preserve"> diverse </w:t>
      </w:r>
      <w:r w:rsidR="00F26920" w:rsidRPr="009E6BD3">
        <w:rPr>
          <w:rFonts w:ascii="Cambria" w:hAnsi="Cambria"/>
          <w:sz w:val="22"/>
          <w:szCs w:val="22"/>
        </w:rPr>
        <w:t>in</w:t>
      </w:r>
      <w:r w:rsidRPr="009E6BD3">
        <w:rPr>
          <w:rFonts w:ascii="Cambria" w:hAnsi="Cambria"/>
          <w:sz w:val="22"/>
          <w:szCs w:val="22"/>
        </w:rPr>
        <w:t xml:space="preserve">-person </w:t>
      </w:r>
      <w:r w:rsidR="00F26920" w:rsidRPr="009E6BD3">
        <w:rPr>
          <w:rFonts w:ascii="Cambria" w:hAnsi="Cambria"/>
          <w:sz w:val="22"/>
          <w:szCs w:val="22"/>
        </w:rPr>
        <w:t>respondents</w:t>
      </w:r>
      <w:r w:rsidRPr="009E6BD3">
        <w:rPr>
          <w:rFonts w:ascii="Cambria" w:hAnsi="Cambria"/>
          <w:sz w:val="22"/>
          <w:szCs w:val="22"/>
        </w:rPr>
        <w:t xml:space="preserve"> </w:t>
      </w:r>
    </w:p>
    <w:p w14:paraId="6EA70E10" w14:textId="13ABE9FA" w:rsidR="00416D34" w:rsidRPr="009E6BD3" w:rsidRDefault="00416D34" w:rsidP="00003769">
      <w:pPr>
        <w:spacing w:line="480" w:lineRule="auto"/>
        <w:ind w:left="720"/>
        <w:rPr>
          <w:rFonts w:ascii="Cambria" w:hAnsi="Cambria"/>
          <w:sz w:val="22"/>
          <w:szCs w:val="22"/>
        </w:rPr>
      </w:pPr>
      <w:r w:rsidRPr="009E6BD3">
        <w:rPr>
          <w:rFonts w:ascii="Cambria" w:hAnsi="Cambria"/>
          <w:sz w:val="22"/>
          <w:szCs w:val="22"/>
        </w:rPr>
        <w:t xml:space="preserve">3. </w:t>
      </w:r>
      <w:r w:rsidR="00003769" w:rsidRPr="009E6BD3">
        <w:rPr>
          <w:rFonts w:ascii="Cambria" w:hAnsi="Cambria"/>
          <w:sz w:val="22"/>
          <w:szCs w:val="22"/>
        </w:rPr>
        <w:t>R</w:t>
      </w:r>
      <w:r w:rsidRPr="009E6BD3">
        <w:rPr>
          <w:rFonts w:ascii="Cambria" w:hAnsi="Cambria"/>
          <w:sz w:val="22"/>
          <w:szCs w:val="22"/>
        </w:rPr>
        <w:t>each out to organizations to advertise the CSS to gain a more representative sample of respondents to the online survey</w:t>
      </w:r>
      <w:r w:rsidR="002D3ACE">
        <w:rPr>
          <w:rFonts w:ascii="Cambria" w:hAnsi="Cambria"/>
          <w:sz w:val="22"/>
          <w:szCs w:val="22"/>
        </w:rPr>
        <w:t>—</w:t>
      </w:r>
      <w:r w:rsidR="00967456" w:rsidRPr="009E6BD3">
        <w:rPr>
          <w:rFonts w:ascii="Cambria" w:hAnsi="Cambria"/>
          <w:sz w:val="22"/>
          <w:szCs w:val="22"/>
        </w:rPr>
        <w:t>i</w:t>
      </w:r>
      <w:r w:rsidR="002D3ACE">
        <w:rPr>
          <w:rFonts w:ascii="Cambria" w:hAnsi="Cambria"/>
          <w:sz w:val="22"/>
          <w:szCs w:val="22"/>
        </w:rPr>
        <w:t xml:space="preserve">n </w:t>
      </w:r>
      <w:r w:rsidR="00967456" w:rsidRPr="009E6BD3">
        <w:rPr>
          <w:rFonts w:ascii="Cambria" w:hAnsi="Cambria"/>
          <w:sz w:val="22"/>
          <w:szCs w:val="22"/>
        </w:rPr>
        <w:t>-person</w:t>
      </w:r>
      <w:r w:rsidRPr="009E6BD3">
        <w:rPr>
          <w:rFonts w:ascii="Cambria" w:hAnsi="Cambria"/>
          <w:sz w:val="22"/>
          <w:szCs w:val="22"/>
        </w:rPr>
        <w:t xml:space="preserve"> surveys are expensive and time consuming.</w:t>
      </w:r>
    </w:p>
    <w:p w14:paraId="2C889BA1" w14:textId="200A29C9" w:rsidR="005942C2" w:rsidRPr="003A2541" w:rsidRDefault="00C92D8D" w:rsidP="004563E3">
      <w:pPr>
        <w:spacing w:line="480" w:lineRule="auto"/>
        <w:ind w:firstLine="720"/>
        <w:rPr>
          <w:rFonts w:ascii="Cambria" w:hAnsi="Cambria"/>
          <w:b/>
        </w:rPr>
      </w:pPr>
      <w:r w:rsidRPr="003A2541">
        <w:rPr>
          <w:rFonts w:ascii="Cambria" w:hAnsi="Cambria"/>
        </w:rPr>
        <w:br w:type="page"/>
      </w:r>
      <w:r w:rsidR="005942C2" w:rsidRPr="003A2541">
        <w:rPr>
          <w:rFonts w:ascii="Cambria" w:hAnsi="Cambria"/>
          <w:b/>
          <w:lang w:val="en-US"/>
        </w:rPr>
        <w:lastRenderedPageBreak/>
        <w:t>Background to the TBPS 2018 citizen satisfaction survey design</w:t>
      </w:r>
    </w:p>
    <w:p w14:paraId="0FC73028" w14:textId="222C1717" w:rsidR="005942C2" w:rsidRPr="003A2541" w:rsidRDefault="005942C2" w:rsidP="004563E3">
      <w:pPr>
        <w:spacing w:line="480" w:lineRule="auto"/>
        <w:rPr>
          <w:rFonts w:ascii="Cambria" w:hAnsi="Cambria" w:cs="Calibri"/>
          <w:color w:val="222222"/>
          <w:lang w:val="en-US" w:eastAsia="en-CA"/>
        </w:rPr>
      </w:pPr>
      <w:r w:rsidRPr="003A2541">
        <w:rPr>
          <w:rFonts w:ascii="Cambria" w:hAnsi="Cambria" w:cs="Calibri"/>
          <w:color w:val="222222"/>
          <w:lang w:val="en-US" w:eastAsia="en-CA"/>
        </w:rPr>
        <w:t>      </w:t>
      </w:r>
      <w:r w:rsidRPr="003A2541">
        <w:rPr>
          <w:rFonts w:ascii="Cambria" w:hAnsi="Cambria" w:cs="Calibri"/>
          <w:color w:val="222222"/>
          <w:lang w:eastAsia="en-CA"/>
        </w:rPr>
        <w:tab/>
      </w:r>
      <w:r w:rsidRPr="003A2541">
        <w:rPr>
          <w:rFonts w:ascii="Cambria" w:hAnsi="Cambria" w:cs="Calibri"/>
          <w:color w:val="222222"/>
          <w:lang w:val="en-US" w:eastAsia="en-CA"/>
        </w:rPr>
        <w:t xml:space="preserve">The Thunder Bay Police Service (TBPS) conducted </w:t>
      </w:r>
      <w:r w:rsidR="00F23AA1">
        <w:rPr>
          <w:rFonts w:ascii="Cambria" w:hAnsi="Cambria" w:cs="Calibri"/>
          <w:color w:val="222222"/>
          <w:lang w:val="en-US" w:eastAsia="en-CA"/>
        </w:rPr>
        <w:t xml:space="preserve">its </w:t>
      </w:r>
      <w:r w:rsidRPr="003A2541">
        <w:rPr>
          <w:rFonts w:ascii="Cambria" w:hAnsi="Cambria" w:cs="Calibri"/>
          <w:color w:val="222222"/>
          <w:lang w:val="en-US" w:eastAsia="en-CA"/>
        </w:rPr>
        <w:t xml:space="preserve">Citizen Satisfaction Survey (CSS) </w:t>
      </w:r>
      <w:r w:rsidR="00B102AA" w:rsidRPr="003A2541">
        <w:rPr>
          <w:rFonts w:ascii="Cambria" w:hAnsi="Cambria" w:cs="Calibri"/>
          <w:color w:val="222222"/>
          <w:lang w:val="en-US" w:eastAsia="en-CA"/>
        </w:rPr>
        <w:t xml:space="preserve">recently </w:t>
      </w:r>
      <w:r w:rsidRPr="003A2541">
        <w:rPr>
          <w:rFonts w:ascii="Cambria" w:hAnsi="Cambria" w:cs="Calibri"/>
          <w:color w:val="222222"/>
          <w:lang w:val="en-US" w:eastAsia="en-CA"/>
        </w:rPr>
        <w:t>in 2014 and 2016.</w:t>
      </w:r>
      <w:r w:rsidR="00AE13D4" w:rsidRPr="003A2541">
        <w:rPr>
          <w:rFonts w:ascii="Cambria" w:hAnsi="Cambria" w:cs="Calibri"/>
          <w:color w:val="222222"/>
          <w:lang w:val="en-US" w:eastAsia="en-CA"/>
        </w:rPr>
        <w:t xml:space="preserve"> S</w:t>
      </w:r>
      <w:r w:rsidR="00623D30" w:rsidRPr="003A2541">
        <w:rPr>
          <w:rFonts w:ascii="Cambria" w:hAnsi="Cambria" w:cs="Calibri"/>
          <w:color w:val="222222"/>
          <w:lang w:val="en-US" w:eastAsia="en-CA"/>
        </w:rPr>
        <w:t>urvey r</w:t>
      </w:r>
      <w:r w:rsidR="00B42C76" w:rsidRPr="003A2541">
        <w:rPr>
          <w:rFonts w:ascii="Cambria" w:hAnsi="Cambria" w:cs="Calibri"/>
          <w:color w:val="222222"/>
          <w:lang w:val="en-US" w:eastAsia="en-CA"/>
        </w:rPr>
        <w:t xml:space="preserve">espondents </w:t>
      </w:r>
      <w:r w:rsidR="00F23AA1">
        <w:rPr>
          <w:rFonts w:ascii="Cambria" w:hAnsi="Cambria" w:cs="Calibri"/>
          <w:color w:val="222222"/>
          <w:lang w:val="en-US" w:eastAsia="en-CA"/>
        </w:rPr>
        <w:t>completed</w:t>
      </w:r>
      <w:r w:rsidR="00B42C76" w:rsidRPr="003A2541">
        <w:rPr>
          <w:rFonts w:ascii="Cambria" w:hAnsi="Cambria" w:cs="Calibri"/>
          <w:color w:val="222222"/>
          <w:lang w:val="en-US" w:eastAsia="en-CA"/>
        </w:rPr>
        <w:t xml:space="preserve"> an online survey that asked about</w:t>
      </w:r>
      <w:r w:rsidRPr="003A2541">
        <w:rPr>
          <w:rFonts w:ascii="Cambria" w:hAnsi="Cambria" w:cs="Calibri"/>
          <w:color w:val="222222"/>
          <w:lang w:val="en-US" w:eastAsia="en-CA"/>
        </w:rPr>
        <w:t xml:space="preserve"> their experiences </w:t>
      </w:r>
      <w:r w:rsidR="00F23AA1">
        <w:rPr>
          <w:rFonts w:ascii="Cambria" w:hAnsi="Cambria" w:cs="Calibri"/>
          <w:color w:val="222222"/>
          <w:lang w:val="en-US" w:eastAsia="en-CA"/>
        </w:rPr>
        <w:t xml:space="preserve">with TBPS </w:t>
      </w:r>
      <w:r w:rsidRPr="003A2541">
        <w:rPr>
          <w:rFonts w:ascii="Cambria" w:hAnsi="Cambria" w:cs="Calibri"/>
          <w:color w:val="222222"/>
          <w:lang w:val="en-US" w:eastAsia="en-CA"/>
        </w:rPr>
        <w:t xml:space="preserve">and </w:t>
      </w:r>
      <w:r w:rsidR="00AE13D4" w:rsidRPr="003A2541">
        <w:rPr>
          <w:rFonts w:ascii="Cambria" w:hAnsi="Cambria" w:cs="Calibri"/>
          <w:color w:val="222222"/>
          <w:lang w:val="en-US" w:eastAsia="en-CA"/>
        </w:rPr>
        <w:t>satisfaction with the TBPS</w:t>
      </w:r>
      <w:r w:rsidR="00F23AA1">
        <w:rPr>
          <w:rFonts w:ascii="Cambria" w:hAnsi="Cambria" w:cs="Calibri"/>
          <w:color w:val="222222"/>
          <w:lang w:val="en-US" w:eastAsia="en-CA"/>
        </w:rPr>
        <w:t>’</w:t>
      </w:r>
      <w:r w:rsidR="00AE13D4" w:rsidRPr="003A2541">
        <w:rPr>
          <w:rFonts w:ascii="Cambria" w:hAnsi="Cambria" w:cs="Calibri"/>
          <w:color w:val="222222"/>
          <w:lang w:val="en-US" w:eastAsia="en-CA"/>
        </w:rPr>
        <w:t xml:space="preserve"> </w:t>
      </w:r>
      <w:r w:rsidR="00F23AA1">
        <w:rPr>
          <w:rFonts w:ascii="Cambria" w:hAnsi="Cambria" w:cs="Calibri"/>
          <w:color w:val="222222"/>
          <w:lang w:val="en-US" w:eastAsia="en-CA"/>
        </w:rPr>
        <w:t xml:space="preserve">services </w:t>
      </w:r>
      <w:r w:rsidR="005C393D" w:rsidRPr="003A2541">
        <w:rPr>
          <w:rFonts w:ascii="Cambria" w:hAnsi="Cambria" w:cs="Calibri"/>
          <w:color w:val="222222"/>
          <w:lang w:val="en-US" w:eastAsia="en-CA"/>
        </w:rPr>
        <w:t>[</w:t>
      </w:r>
      <w:r w:rsidR="003B0848" w:rsidRPr="003B0848">
        <w:rPr>
          <w:rFonts w:ascii="Cambria" w:hAnsi="Cambria" w:cs="Calibri"/>
          <w:color w:val="222222"/>
          <w:lang w:val="en-US" w:eastAsia="en-CA"/>
        </w:rPr>
        <w:t>1</w:t>
      </w:r>
      <w:r w:rsidR="00AE13D4" w:rsidRPr="003A2541">
        <w:rPr>
          <w:rFonts w:ascii="Cambria" w:hAnsi="Cambria" w:cs="Calibri"/>
          <w:color w:val="222222"/>
          <w:lang w:val="en-US" w:eastAsia="en-CA"/>
        </w:rPr>
        <w:t xml:space="preserve">]. </w:t>
      </w:r>
    </w:p>
    <w:p w14:paraId="1153A667" w14:textId="4F43E7E1" w:rsidR="00A60346" w:rsidRPr="003A2541" w:rsidRDefault="005942C2" w:rsidP="004563E3">
      <w:pPr>
        <w:spacing w:line="480" w:lineRule="auto"/>
        <w:ind w:firstLine="720"/>
        <w:rPr>
          <w:rFonts w:ascii="Cambria" w:hAnsi="Cambria" w:cs="Calibri"/>
          <w:color w:val="222222"/>
          <w:lang w:val="en-US" w:eastAsia="en-CA"/>
        </w:rPr>
      </w:pPr>
      <w:r w:rsidRPr="003A2541">
        <w:rPr>
          <w:rFonts w:ascii="Cambria" w:hAnsi="Cambria" w:cs="Calibri"/>
          <w:color w:val="222222"/>
          <w:lang w:val="en-US" w:eastAsia="en-CA"/>
        </w:rPr>
        <w:t xml:space="preserve">However, </w:t>
      </w:r>
      <w:r w:rsidR="00AE13D4" w:rsidRPr="003A2541">
        <w:rPr>
          <w:rFonts w:ascii="Cambria" w:hAnsi="Cambria" w:cs="Calibri"/>
          <w:color w:val="222222"/>
          <w:lang w:val="en-US" w:eastAsia="en-CA"/>
        </w:rPr>
        <w:t xml:space="preserve">a review of </w:t>
      </w:r>
      <w:r w:rsidR="008C5645" w:rsidRPr="003A2541">
        <w:rPr>
          <w:rFonts w:ascii="Cambria" w:hAnsi="Cambria" w:cs="Calibri"/>
          <w:color w:val="222222"/>
          <w:lang w:val="en-US" w:eastAsia="en-CA"/>
        </w:rPr>
        <w:t xml:space="preserve">the TBPS’ </w:t>
      </w:r>
      <w:r w:rsidR="00D3045C" w:rsidRPr="003A2541">
        <w:rPr>
          <w:rFonts w:ascii="Cambria" w:hAnsi="Cambria" w:cs="Calibri"/>
          <w:color w:val="222222"/>
          <w:lang w:val="en-US" w:eastAsia="en-CA"/>
        </w:rPr>
        <w:t>most recent satisfaction surveys</w:t>
      </w:r>
      <w:r w:rsidR="00AE13D4" w:rsidRPr="003A2541">
        <w:rPr>
          <w:rFonts w:ascii="Cambria" w:hAnsi="Cambria" w:cs="Calibri"/>
          <w:color w:val="222222"/>
          <w:lang w:val="en-US" w:eastAsia="en-CA"/>
        </w:rPr>
        <w:t xml:space="preserve"> (2014, 2016) showed that </w:t>
      </w:r>
      <w:r w:rsidR="0014317F" w:rsidRPr="003A2541">
        <w:rPr>
          <w:rFonts w:ascii="Cambria" w:hAnsi="Cambria" w:cs="Calibri"/>
          <w:color w:val="222222"/>
          <w:lang w:val="en-US" w:eastAsia="en-CA"/>
        </w:rPr>
        <w:t>respondents</w:t>
      </w:r>
      <w:r w:rsidR="00DA6E42" w:rsidRPr="003A2541">
        <w:rPr>
          <w:rFonts w:ascii="Cambria" w:hAnsi="Cambria" w:cs="Calibri"/>
          <w:color w:val="222222"/>
          <w:lang w:val="en-US" w:eastAsia="en-CA"/>
        </w:rPr>
        <w:t xml:space="preserve"> </w:t>
      </w:r>
      <w:r w:rsidRPr="003A2541">
        <w:rPr>
          <w:rFonts w:ascii="Cambria" w:hAnsi="Cambria" w:cs="Calibri"/>
          <w:color w:val="222222"/>
          <w:lang w:val="en-US" w:eastAsia="en-CA"/>
        </w:rPr>
        <w:t xml:space="preserve">did not reflect </w:t>
      </w:r>
      <w:r w:rsidRPr="003A2541">
        <w:rPr>
          <w:rFonts w:ascii="Cambria" w:hAnsi="Cambria" w:cs="Calibri"/>
          <w:color w:val="000000" w:themeColor="text1"/>
          <w:lang w:val="en-US" w:eastAsia="en-CA"/>
        </w:rPr>
        <w:t>the</w:t>
      </w:r>
      <w:r w:rsidR="008C5645" w:rsidRPr="003A2541">
        <w:rPr>
          <w:rFonts w:ascii="Cambria" w:hAnsi="Cambria" w:cs="Calibri"/>
          <w:color w:val="000000" w:themeColor="text1"/>
          <w:lang w:val="en-US" w:eastAsia="en-CA"/>
        </w:rPr>
        <w:t xml:space="preserve"> </w:t>
      </w:r>
      <w:r w:rsidR="00F2735C" w:rsidRPr="003A2541">
        <w:rPr>
          <w:rFonts w:ascii="Cambria" w:hAnsi="Cambria" w:cs="Calibri"/>
          <w:color w:val="000000" w:themeColor="text1"/>
          <w:lang w:val="en-US" w:eastAsia="en-CA"/>
        </w:rPr>
        <w:t xml:space="preserve">demographic </w:t>
      </w:r>
      <w:r w:rsidR="00AA489F">
        <w:rPr>
          <w:rFonts w:ascii="Cambria" w:hAnsi="Cambria" w:cs="Calibri"/>
          <w:color w:val="000000" w:themeColor="text1"/>
          <w:lang w:val="en-US" w:eastAsia="en-CA"/>
        </w:rPr>
        <w:t>diversity</w:t>
      </w:r>
      <w:r w:rsidR="008C5645" w:rsidRPr="003A2541">
        <w:rPr>
          <w:rFonts w:ascii="Cambria" w:hAnsi="Cambria" w:cs="Calibri"/>
          <w:color w:val="000000" w:themeColor="text1"/>
          <w:lang w:val="en-US" w:eastAsia="en-CA"/>
        </w:rPr>
        <w:t xml:space="preserve"> </w:t>
      </w:r>
      <w:r w:rsidRPr="003A2541">
        <w:rPr>
          <w:rFonts w:ascii="Cambria" w:hAnsi="Cambria" w:cs="Calibri"/>
          <w:color w:val="222222"/>
          <w:lang w:val="en-US" w:eastAsia="en-CA"/>
        </w:rPr>
        <w:t>of Thunder Bay</w:t>
      </w:r>
      <w:r w:rsidR="00AF7670" w:rsidRPr="003A2541">
        <w:rPr>
          <w:rFonts w:ascii="Cambria" w:hAnsi="Cambria"/>
        </w:rPr>
        <w:t xml:space="preserve">. </w:t>
      </w:r>
      <w:r w:rsidR="00D3045C" w:rsidRPr="003A2541">
        <w:rPr>
          <w:rFonts w:ascii="Cambria" w:hAnsi="Cambria" w:cs="Calibri"/>
          <w:color w:val="222222"/>
          <w:lang w:val="en-US" w:eastAsia="en-CA"/>
        </w:rPr>
        <w:t xml:space="preserve">Notably, </w:t>
      </w:r>
      <w:r w:rsidR="00B53E3D" w:rsidRPr="003A2541">
        <w:rPr>
          <w:rFonts w:ascii="Cambria" w:hAnsi="Cambria" w:cs="Calibri"/>
          <w:color w:val="222222"/>
          <w:lang w:val="en-US" w:eastAsia="en-CA"/>
        </w:rPr>
        <w:t>recent CSS</w:t>
      </w:r>
      <w:r w:rsidR="002254FC" w:rsidRPr="003A2541">
        <w:rPr>
          <w:rFonts w:ascii="Cambria" w:hAnsi="Cambria" w:cs="Calibri"/>
          <w:color w:val="222222"/>
          <w:lang w:val="en-US" w:eastAsia="en-CA"/>
        </w:rPr>
        <w:t xml:space="preserve"> r</w:t>
      </w:r>
      <w:r w:rsidRPr="003A2541">
        <w:rPr>
          <w:rFonts w:ascii="Cambria" w:hAnsi="Cambria" w:cs="Calibri"/>
          <w:color w:val="222222"/>
          <w:lang w:val="en-US" w:eastAsia="en-CA"/>
        </w:rPr>
        <w:t>espondents mainly identified as white (91%</w:t>
      </w:r>
      <w:r w:rsidR="00B42C76" w:rsidRPr="003A2541">
        <w:rPr>
          <w:rFonts w:ascii="Cambria" w:hAnsi="Cambria" w:cs="Calibri"/>
          <w:color w:val="222222"/>
          <w:lang w:val="en-US" w:eastAsia="en-CA"/>
        </w:rPr>
        <w:t>; 90%</w:t>
      </w:r>
      <w:r w:rsidRPr="003A2541">
        <w:rPr>
          <w:rFonts w:ascii="Cambria" w:hAnsi="Cambria" w:cs="Calibri"/>
          <w:color w:val="222222"/>
          <w:lang w:val="en-US" w:eastAsia="en-CA"/>
        </w:rPr>
        <w:t>), with few respondents identifying as Indigenous (6%</w:t>
      </w:r>
      <w:r w:rsidR="00B42C76" w:rsidRPr="003A2541">
        <w:rPr>
          <w:rFonts w:ascii="Cambria" w:hAnsi="Cambria" w:cs="Calibri"/>
          <w:color w:val="222222"/>
          <w:lang w:val="en-US" w:eastAsia="en-CA"/>
        </w:rPr>
        <w:t>; 7%</w:t>
      </w:r>
      <w:r w:rsidRPr="003A2541">
        <w:rPr>
          <w:rFonts w:ascii="Cambria" w:hAnsi="Cambria" w:cs="Calibri"/>
          <w:color w:val="222222"/>
          <w:lang w:val="en-US" w:eastAsia="en-CA"/>
        </w:rPr>
        <w:t>)</w:t>
      </w:r>
      <w:r w:rsidR="00B42C76" w:rsidRPr="003A2541">
        <w:rPr>
          <w:rFonts w:ascii="Cambria" w:hAnsi="Cambria" w:cs="Calibri"/>
          <w:color w:val="222222"/>
          <w:lang w:val="en-US" w:eastAsia="en-CA"/>
        </w:rPr>
        <w:t xml:space="preserve"> in 2014 and 2016 respectively</w:t>
      </w:r>
      <w:r w:rsidRPr="003A2541">
        <w:rPr>
          <w:rFonts w:ascii="Cambria" w:hAnsi="Cambria" w:cs="Calibri"/>
          <w:color w:val="222222"/>
          <w:lang w:val="en-US" w:eastAsia="en-CA"/>
        </w:rPr>
        <w:t xml:space="preserve">. </w:t>
      </w:r>
      <w:r w:rsidR="000E1550">
        <w:rPr>
          <w:rFonts w:ascii="Cambria" w:hAnsi="Cambria" w:cs="Calibri"/>
          <w:color w:val="222222"/>
          <w:lang w:val="en-US" w:eastAsia="en-CA"/>
        </w:rPr>
        <w:t xml:space="preserve">The most recent </w:t>
      </w:r>
      <w:r w:rsidR="00577DD5">
        <w:rPr>
          <w:rFonts w:ascii="Cambria" w:hAnsi="Cambria" w:cs="Calibri"/>
          <w:color w:val="222222"/>
          <w:lang w:val="en-US" w:eastAsia="en-CA"/>
        </w:rPr>
        <w:t>Census (</w:t>
      </w:r>
      <w:r w:rsidR="00AE13D4" w:rsidRPr="003A2541">
        <w:rPr>
          <w:rFonts w:ascii="Cambria" w:hAnsi="Cambria" w:cs="Calibri"/>
          <w:color w:val="222222"/>
          <w:lang w:val="en-US" w:eastAsia="en-CA"/>
        </w:rPr>
        <w:t>2016</w:t>
      </w:r>
      <w:r w:rsidR="00577DD5">
        <w:rPr>
          <w:rFonts w:ascii="Cambria" w:hAnsi="Cambria" w:cs="Calibri"/>
          <w:color w:val="222222"/>
          <w:lang w:val="en-US" w:eastAsia="en-CA"/>
        </w:rPr>
        <w:t>)</w:t>
      </w:r>
      <w:r w:rsidR="000E1550">
        <w:rPr>
          <w:rFonts w:ascii="Cambria" w:hAnsi="Cambria" w:cs="Calibri"/>
          <w:color w:val="222222"/>
          <w:lang w:val="en-US" w:eastAsia="en-CA"/>
        </w:rPr>
        <w:t xml:space="preserve"> shows</w:t>
      </w:r>
      <w:r w:rsidR="00AE13D4" w:rsidRPr="003A2541">
        <w:rPr>
          <w:rFonts w:ascii="Cambria" w:hAnsi="Cambria" w:cs="Calibri"/>
          <w:color w:val="222222"/>
          <w:lang w:val="en-US" w:eastAsia="en-CA"/>
        </w:rPr>
        <w:t xml:space="preserve"> </w:t>
      </w:r>
      <w:r w:rsidR="00A60346" w:rsidRPr="003A2541">
        <w:rPr>
          <w:rFonts w:ascii="Cambria" w:hAnsi="Cambria" w:cs="Calibri"/>
          <w:color w:val="222222"/>
          <w:lang w:val="en-US" w:eastAsia="en-CA"/>
        </w:rPr>
        <w:t xml:space="preserve">13% of </w:t>
      </w:r>
      <w:r w:rsidR="000E1550" w:rsidRPr="003A2541">
        <w:rPr>
          <w:rFonts w:ascii="Cambria" w:hAnsi="Cambria" w:cs="Calibri"/>
          <w:color w:val="222222"/>
          <w:lang w:val="en-US" w:eastAsia="en-CA"/>
        </w:rPr>
        <w:t>Thunder Bay</w:t>
      </w:r>
      <w:r w:rsidR="000E1550">
        <w:rPr>
          <w:rFonts w:ascii="Cambria" w:hAnsi="Cambria" w:cs="Calibri"/>
          <w:color w:val="222222"/>
          <w:lang w:val="en-US" w:eastAsia="en-CA"/>
        </w:rPr>
        <w:t xml:space="preserve">’s </w:t>
      </w:r>
      <w:r w:rsidR="00AE13D4" w:rsidRPr="003A2541">
        <w:rPr>
          <w:rFonts w:ascii="Cambria" w:hAnsi="Cambria" w:cs="Calibri"/>
          <w:color w:val="222222"/>
          <w:lang w:val="en-US" w:eastAsia="en-CA"/>
        </w:rPr>
        <w:t>citizens</w:t>
      </w:r>
      <w:r w:rsidR="00A60346" w:rsidRPr="003A2541">
        <w:rPr>
          <w:rFonts w:ascii="Cambria" w:hAnsi="Cambria" w:cs="Calibri"/>
          <w:color w:val="222222"/>
          <w:lang w:val="en-US" w:eastAsia="en-CA"/>
        </w:rPr>
        <w:t xml:space="preserve"> identified as Indigenous</w:t>
      </w:r>
      <w:r w:rsidR="00AE13D4" w:rsidRPr="003A2541">
        <w:rPr>
          <w:rFonts w:ascii="Cambria" w:hAnsi="Cambria" w:cs="Calibri"/>
          <w:color w:val="222222"/>
          <w:lang w:val="en-US" w:eastAsia="en-CA"/>
        </w:rPr>
        <w:t xml:space="preserve">, a city with the highest population </w:t>
      </w:r>
      <w:r w:rsidR="00E51F15">
        <w:rPr>
          <w:rFonts w:ascii="Cambria" w:hAnsi="Cambria" w:cs="Calibri"/>
          <w:color w:val="222222"/>
          <w:lang w:val="en-US" w:eastAsia="en-CA"/>
        </w:rPr>
        <w:t xml:space="preserve">(per capita) </w:t>
      </w:r>
      <w:r w:rsidR="00AE13D4" w:rsidRPr="003A2541">
        <w:rPr>
          <w:rFonts w:ascii="Cambria" w:hAnsi="Cambria" w:cs="Calibri"/>
          <w:color w:val="222222"/>
          <w:lang w:val="en-US" w:eastAsia="en-CA"/>
        </w:rPr>
        <w:t xml:space="preserve">of Indigenous peoples in the country </w:t>
      </w:r>
      <w:r w:rsidRPr="003A2541">
        <w:rPr>
          <w:rFonts w:ascii="Cambria" w:hAnsi="Cambria" w:cs="Calibri"/>
          <w:color w:val="222222"/>
          <w:lang w:val="en-US" w:eastAsia="en-CA"/>
        </w:rPr>
        <w:t>[</w:t>
      </w:r>
      <w:r w:rsidR="003B0848" w:rsidRPr="00C13B80">
        <w:rPr>
          <w:rFonts w:ascii="Cambria" w:hAnsi="Cambria" w:cs="Calibri"/>
          <w:color w:val="222222"/>
          <w:lang w:val="en-US" w:eastAsia="en-CA"/>
        </w:rPr>
        <w:t>3</w:t>
      </w:r>
      <w:r w:rsidRPr="003A2541">
        <w:rPr>
          <w:rFonts w:ascii="Cambria" w:hAnsi="Cambria" w:cs="Calibri"/>
          <w:color w:val="222222"/>
          <w:lang w:val="en-US" w:eastAsia="en-CA"/>
        </w:rPr>
        <w:t>]</w:t>
      </w:r>
      <w:r w:rsidR="00B42C76" w:rsidRPr="003A2541">
        <w:rPr>
          <w:rFonts w:ascii="Cambria" w:hAnsi="Cambria" w:cs="Calibri"/>
          <w:color w:val="222222"/>
          <w:lang w:val="en-US" w:eastAsia="en-CA"/>
        </w:rPr>
        <w:t xml:space="preserve">. As well, the age ranges </w:t>
      </w:r>
      <w:r w:rsidR="00577DD5">
        <w:rPr>
          <w:rFonts w:ascii="Cambria" w:hAnsi="Cambria" w:cs="Calibri"/>
          <w:color w:val="222222"/>
          <w:lang w:val="en-US" w:eastAsia="en-CA"/>
        </w:rPr>
        <w:t xml:space="preserve">on the CSS </w:t>
      </w:r>
      <w:r w:rsidR="00B53E3D" w:rsidRPr="003A2541">
        <w:rPr>
          <w:rFonts w:ascii="Cambria" w:hAnsi="Cambria" w:cs="Calibri"/>
          <w:color w:val="222222"/>
          <w:lang w:val="en-US" w:eastAsia="en-CA"/>
        </w:rPr>
        <w:t xml:space="preserve">(2014, 2016) </w:t>
      </w:r>
      <w:r w:rsidR="00B42C76" w:rsidRPr="003A2541">
        <w:rPr>
          <w:rFonts w:ascii="Cambria" w:hAnsi="Cambria" w:cs="Calibri"/>
          <w:color w:val="222222"/>
          <w:lang w:val="en-US" w:eastAsia="en-CA"/>
        </w:rPr>
        <w:t xml:space="preserve">were too </w:t>
      </w:r>
      <w:r w:rsidR="00577DD5">
        <w:rPr>
          <w:rFonts w:ascii="Cambria" w:hAnsi="Cambria" w:cs="Calibri"/>
          <w:color w:val="222222"/>
          <w:lang w:val="en-US" w:eastAsia="en-CA"/>
        </w:rPr>
        <w:t>large</w:t>
      </w:r>
      <w:r w:rsidR="00B42C76" w:rsidRPr="003A2541">
        <w:rPr>
          <w:rFonts w:ascii="Cambria" w:hAnsi="Cambria" w:cs="Calibri"/>
          <w:color w:val="222222"/>
          <w:lang w:val="en-US" w:eastAsia="en-CA"/>
        </w:rPr>
        <w:t xml:space="preserve"> to </w:t>
      </w:r>
      <w:r w:rsidR="002254FC" w:rsidRPr="003A2541">
        <w:rPr>
          <w:rFonts w:ascii="Cambria" w:hAnsi="Cambria" w:cs="Calibri"/>
          <w:color w:val="222222"/>
          <w:lang w:val="en-US" w:eastAsia="en-CA"/>
        </w:rPr>
        <w:t>d</w:t>
      </w:r>
      <w:r w:rsidR="00DB768B">
        <w:rPr>
          <w:rFonts w:ascii="Cambria" w:hAnsi="Cambria" w:cs="Calibri"/>
          <w:color w:val="222222"/>
          <w:lang w:val="en-US" w:eastAsia="en-CA"/>
        </w:rPr>
        <w:t xml:space="preserve">iscern </w:t>
      </w:r>
      <w:r w:rsidR="002254FC" w:rsidRPr="003A2541">
        <w:rPr>
          <w:rFonts w:ascii="Cambria" w:hAnsi="Cambria" w:cs="Calibri"/>
          <w:color w:val="222222"/>
          <w:lang w:val="en-US" w:eastAsia="en-CA"/>
        </w:rPr>
        <w:t>if they re</w:t>
      </w:r>
      <w:r w:rsidR="00847972">
        <w:rPr>
          <w:rFonts w:ascii="Cambria" w:hAnsi="Cambria" w:cs="Calibri"/>
          <w:color w:val="222222"/>
          <w:lang w:val="en-US" w:eastAsia="en-CA"/>
        </w:rPr>
        <w:t>flected</w:t>
      </w:r>
      <w:r w:rsidR="002254FC" w:rsidRPr="003A2541">
        <w:rPr>
          <w:rFonts w:ascii="Cambria" w:hAnsi="Cambria" w:cs="Calibri"/>
          <w:color w:val="222222"/>
          <w:lang w:val="en-US" w:eastAsia="en-CA"/>
        </w:rPr>
        <w:t xml:space="preserve"> the broader population</w:t>
      </w:r>
      <w:r w:rsidR="002D3ACE">
        <w:rPr>
          <w:rFonts w:ascii="Cambria" w:hAnsi="Cambria" w:cs="Calibri"/>
          <w:color w:val="222222"/>
          <w:lang w:val="en-US" w:eastAsia="en-CA"/>
        </w:rPr>
        <w:t>, particularly youth</w:t>
      </w:r>
      <w:r w:rsidR="002254FC" w:rsidRPr="003A2541">
        <w:rPr>
          <w:rFonts w:ascii="Cambria" w:hAnsi="Cambria" w:cs="Calibri"/>
          <w:color w:val="222222"/>
          <w:lang w:val="en-US" w:eastAsia="en-CA"/>
        </w:rPr>
        <w:t xml:space="preserve"> [</w:t>
      </w:r>
      <w:r w:rsidR="00C13B80" w:rsidRPr="00DB768B">
        <w:rPr>
          <w:rFonts w:ascii="Cambria" w:hAnsi="Cambria" w:cs="Calibri"/>
          <w:color w:val="222222"/>
          <w:lang w:val="en-US" w:eastAsia="en-CA"/>
        </w:rPr>
        <w:t>4</w:t>
      </w:r>
      <w:r w:rsidR="002254FC" w:rsidRPr="00DB768B">
        <w:rPr>
          <w:rFonts w:ascii="Cambria" w:hAnsi="Cambria" w:cs="Calibri"/>
          <w:color w:val="222222"/>
          <w:lang w:val="en-US" w:eastAsia="en-CA"/>
        </w:rPr>
        <w:t>].</w:t>
      </w:r>
      <w:r w:rsidR="002254FC" w:rsidRPr="003A2541">
        <w:rPr>
          <w:rFonts w:ascii="Cambria" w:hAnsi="Cambria" w:cs="Calibri"/>
          <w:color w:val="222222"/>
          <w:lang w:val="en-US" w:eastAsia="en-CA"/>
        </w:rPr>
        <w:t xml:space="preserve"> </w:t>
      </w:r>
    </w:p>
    <w:p w14:paraId="678F18A4" w14:textId="51B9B23D" w:rsidR="005942C2" w:rsidRPr="003A2541" w:rsidRDefault="005942C2" w:rsidP="004563E3">
      <w:pPr>
        <w:spacing w:line="480" w:lineRule="auto"/>
        <w:ind w:firstLine="720"/>
        <w:rPr>
          <w:rFonts w:ascii="Cambria" w:hAnsi="Cambria"/>
        </w:rPr>
      </w:pPr>
      <w:r w:rsidRPr="003A2541">
        <w:rPr>
          <w:rFonts w:ascii="Cambria" w:hAnsi="Cambria"/>
        </w:rPr>
        <w:t xml:space="preserve">A year earlier TBPS representatives (then A/Chief Sylvie </w:t>
      </w:r>
      <w:proofErr w:type="spellStart"/>
      <w:r w:rsidRPr="003A2541">
        <w:rPr>
          <w:rFonts w:ascii="Cambria" w:hAnsi="Cambria"/>
        </w:rPr>
        <w:t>Hauth</w:t>
      </w:r>
      <w:proofErr w:type="spellEnd"/>
      <w:r w:rsidRPr="003A2541">
        <w:rPr>
          <w:rFonts w:ascii="Cambria" w:hAnsi="Cambria"/>
        </w:rPr>
        <w:t xml:space="preserve"> and Director of Communications, Chris Adams) met with representatives from the Regina Police Service (RPS). </w:t>
      </w:r>
      <w:r w:rsidR="00766A5E">
        <w:rPr>
          <w:rFonts w:ascii="Cambria" w:hAnsi="Cambria"/>
        </w:rPr>
        <w:t>They</w:t>
      </w:r>
      <w:r w:rsidR="00A60346" w:rsidRPr="003A2541">
        <w:rPr>
          <w:rFonts w:ascii="Cambria" w:hAnsi="Cambria"/>
        </w:rPr>
        <w:t xml:space="preserve"> </w:t>
      </w:r>
      <w:r w:rsidR="00AA489F">
        <w:rPr>
          <w:rFonts w:ascii="Cambria" w:hAnsi="Cambria"/>
        </w:rPr>
        <w:t>indicated</w:t>
      </w:r>
      <w:r w:rsidR="00E51F15">
        <w:rPr>
          <w:rFonts w:ascii="Cambria" w:hAnsi="Cambria"/>
        </w:rPr>
        <w:t xml:space="preserve"> that </w:t>
      </w:r>
      <w:r w:rsidR="002E67E1" w:rsidRPr="003A2541">
        <w:rPr>
          <w:rFonts w:ascii="Cambria" w:hAnsi="Cambria"/>
        </w:rPr>
        <w:t xml:space="preserve">Indigenous respondents </w:t>
      </w:r>
      <w:r w:rsidR="002D3ACE">
        <w:rPr>
          <w:rFonts w:ascii="Cambria" w:hAnsi="Cambria"/>
        </w:rPr>
        <w:t>had been</w:t>
      </w:r>
      <w:r w:rsidR="002E67E1" w:rsidRPr="003A2541">
        <w:rPr>
          <w:rFonts w:ascii="Cambria" w:hAnsi="Cambria"/>
        </w:rPr>
        <w:t xml:space="preserve"> under-represented in </w:t>
      </w:r>
      <w:r w:rsidR="000645E9" w:rsidRPr="003A2541">
        <w:rPr>
          <w:rFonts w:ascii="Cambria" w:hAnsi="Cambria"/>
        </w:rPr>
        <w:t>the</w:t>
      </w:r>
      <w:r w:rsidR="00766A5E">
        <w:rPr>
          <w:rFonts w:ascii="Cambria" w:hAnsi="Cambria"/>
        </w:rPr>
        <w:t xml:space="preserve"> RPS </w:t>
      </w:r>
      <w:r w:rsidR="001D5D78" w:rsidRPr="003A2541">
        <w:rPr>
          <w:rFonts w:ascii="Cambria" w:hAnsi="Cambria"/>
        </w:rPr>
        <w:t>surveys</w:t>
      </w:r>
      <w:r w:rsidR="00A60346" w:rsidRPr="003A2541">
        <w:rPr>
          <w:rFonts w:ascii="Cambria" w:hAnsi="Cambria"/>
        </w:rPr>
        <w:t xml:space="preserve">. </w:t>
      </w:r>
      <w:r w:rsidR="009869AB">
        <w:rPr>
          <w:rFonts w:ascii="Cambria" w:hAnsi="Cambria"/>
        </w:rPr>
        <w:t>Five years earlier</w:t>
      </w:r>
      <w:r w:rsidR="002E67E1" w:rsidRPr="003A2541">
        <w:rPr>
          <w:rFonts w:ascii="Cambria" w:hAnsi="Cambria"/>
        </w:rPr>
        <w:t xml:space="preserve">, </w:t>
      </w:r>
      <w:r w:rsidR="001D5D78" w:rsidRPr="003A2541">
        <w:rPr>
          <w:rFonts w:ascii="Cambria" w:hAnsi="Cambria"/>
        </w:rPr>
        <w:t>RPS</w:t>
      </w:r>
      <w:r w:rsidR="00A60346" w:rsidRPr="003A2541">
        <w:rPr>
          <w:rFonts w:ascii="Cambria" w:hAnsi="Cambria"/>
        </w:rPr>
        <w:t xml:space="preserve"> </w:t>
      </w:r>
      <w:r w:rsidR="001D5D78" w:rsidRPr="003A2541">
        <w:rPr>
          <w:rFonts w:ascii="Cambria" w:hAnsi="Cambria"/>
        </w:rPr>
        <w:t xml:space="preserve">conducted </w:t>
      </w:r>
      <w:r w:rsidR="002E67E1" w:rsidRPr="003A2541">
        <w:rPr>
          <w:rFonts w:ascii="Cambria" w:hAnsi="Cambria"/>
        </w:rPr>
        <w:t xml:space="preserve">in-person </w:t>
      </w:r>
      <w:r w:rsidR="001D5D78" w:rsidRPr="003A2541">
        <w:rPr>
          <w:rFonts w:ascii="Cambria" w:hAnsi="Cambria"/>
        </w:rPr>
        <w:t xml:space="preserve">surveys </w:t>
      </w:r>
      <w:r w:rsidR="002E67E1" w:rsidRPr="003A2541">
        <w:rPr>
          <w:rFonts w:ascii="Cambria" w:hAnsi="Cambria"/>
        </w:rPr>
        <w:t>to</w:t>
      </w:r>
      <w:r w:rsidRPr="003A2541">
        <w:rPr>
          <w:rFonts w:ascii="Cambria" w:hAnsi="Cambria"/>
        </w:rPr>
        <w:t xml:space="preserve"> complement</w:t>
      </w:r>
      <w:r w:rsidR="001D5D78" w:rsidRPr="003A2541">
        <w:rPr>
          <w:rFonts w:ascii="Cambria" w:hAnsi="Cambria"/>
        </w:rPr>
        <w:t xml:space="preserve"> its</w:t>
      </w:r>
      <w:r w:rsidR="002E67E1" w:rsidRPr="003A2541">
        <w:rPr>
          <w:rFonts w:ascii="Cambria" w:hAnsi="Cambria"/>
        </w:rPr>
        <w:t xml:space="preserve"> </w:t>
      </w:r>
      <w:r w:rsidR="00766A5E">
        <w:rPr>
          <w:rFonts w:ascii="Cambria" w:hAnsi="Cambria"/>
        </w:rPr>
        <w:t>usual</w:t>
      </w:r>
      <w:r w:rsidRPr="003A2541">
        <w:rPr>
          <w:rFonts w:ascii="Cambria" w:hAnsi="Cambria"/>
        </w:rPr>
        <w:t xml:space="preserve"> format</w:t>
      </w:r>
      <w:r w:rsidR="0062269C" w:rsidRPr="003A2541">
        <w:rPr>
          <w:rFonts w:ascii="Cambria" w:hAnsi="Cambria"/>
        </w:rPr>
        <w:t xml:space="preserve"> </w:t>
      </w:r>
      <w:r w:rsidR="00AA489F">
        <w:rPr>
          <w:rFonts w:ascii="Cambria" w:hAnsi="Cambria"/>
        </w:rPr>
        <w:t xml:space="preserve">to </w:t>
      </w:r>
      <w:r w:rsidR="001D5D78" w:rsidRPr="003A2541">
        <w:rPr>
          <w:rFonts w:ascii="Cambria" w:hAnsi="Cambria"/>
        </w:rPr>
        <w:t>attract more Indigenous respondents</w:t>
      </w:r>
      <w:r w:rsidR="009869AB">
        <w:rPr>
          <w:rFonts w:ascii="Cambria" w:hAnsi="Cambria"/>
        </w:rPr>
        <w:t xml:space="preserve"> [</w:t>
      </w:r>
      <w:r w:rsidR="000517C0" w:rsidRPr="00167F7C">
        <w:rPr>
          <w:rFonts w:ascii="Cambria" w:hAnsi="Cambria"/>
        </w:rPr>
        <w:t>5</w:t>
      </w:r>
      <w:r w:rsidR="009869AB">
        <w:rPr>
          <w:rFonts w:ascii="Cambria" w:hAnsi="Cambria"/>
        </w:rPr>
        <w:t>]</w:t>
      </w:r>
      <w:r w:rsidRPr="003A2541">
        <w:rPr>
          <w:rFonts w:ascii="Cambria" w:hAnsi="Cambria"/>
        </w:rPr>
        <w:t>.</w:t>
      </w:r>
      <w:r w:rsidRPr="003A2541">
        <w:rPr>
          <w:rFonts w:ascii="Cambria" w:hAnsi="Cambria" w:cs="Calibri"/>
          <w:color w:val="222222"/>
          <w:lang w:val="en-US" w:eastAsia="en-CA"/>
        </w:rPr>
        <w:t xml:space="preserve"> </w:t>
      </w:r>
      <w:r w:rsidR="009F7B32">
        <w:rPr>
          <w:rFonts w:ascii="Cambria" w:hAnsi="Cambria" w:cs="Calibri"/>
          <w:color w:val="222222"/>
          <w:lang w:val="en-US" w:eastAsia="en-CA"/>
        </w:rPr>
        <w:t xml:space="preserve">TBPS followed </w:t>
      </w:r>
      <w:r w:rsidR="002D3ACE">
        <w:rPr>
          <w:rFonts w:ascii="Cambria" w:hAnsi="Cambria" w:cs="Calibri"/>
          <w:color w:val="222222"/>
          <w:lang w:val="en-US" w:eastAsia="en-CA"/>
        </w:rPr>
        <w:t xml:space="preserve">the </w:t>
      </w:r>
      <w:r w:rsidR="009F7B32">
        <w:rPr>
          <w:rFonts w:ascii="Cambria" w:hAnsi="Cambria" w:cs="Calibri"/>
          <w:color w:val="222222"/>
          <w:lang w:val="en-US" w:eastAsia="en-CA"/>
        </w:rPr>
        <w:t xml:space="preserve">RPS </w:t>
      </w:r>
      <w:r w:rsidR="002D3ACE">
        <w:rPr>
          <w:rFonts w:ascii="Cambria" w:hAnsi="Cambria" w:cs="Calibri"/>
          <w:color w:val="222222"/>
          <w:lang w:val="en-US" w:eastAsia="en-CA"/>
        </w:rPr>
        <w:t xml:space="preserve">method </w:t>
      </w:r>
      <w:r w:rsidR="00AA489F">
        <w:rPr>
          <w:rFonts w:ascii="Cambria" w:hAnsi="Cambria" w:cs="Calibri"/>
          <w:color w:val="222222"/>
          <w:lang w:val="en-US" w:eastAsia="en-CA"/>
        </w:rPr>
        <w:t>and</w:t>
      </w:r>
      <w:r w:rsidR="009F7B32">
        <w:rPr>
          <w:rFonts w:ascii="Cambria" w:hAnsi="Cambria" w:cs="Calibri"/>
          <w:color w:val="222222"/>
          <w:lang w:val="en-US" w:eastAsia="en-CA"/>
        </w:rPr>
        <w:t xml:space="preserve"> us</w:t>
      </w:r>
      <w:r w:rsidR="009D46DF">
        <w:rPr>
          <w:rFonts w:ascii="Cambria" w:hAnsi="Cambria" w:cs="Calibri"/>
          <w:color w:val="222222"/>
          <w:lang w:val="en-US" w:eastAsia="en-CA"/>
        </w:rPr>
        <w:t>e</w:t>
      </w:r>
      <w:r w:rsidR="00AA489F">
        <w:rPr>
          <w:rFonts w:ascii="Cambria" w:hAnsi="Cambria" w:cs="Calibri"/>
          <w:color w:val="222222"/>
          <w:lang w:val="en-US" w:eastAsia="en-CA"/>
        </w:rPr>
        <w:t>d</w:t>
      </w:r>
      <w:r w:rsidR="009F7B32">
        <w:rPr>
          <w:rFonts w:ascii="Cambria" w:hAnsi="Cambria" w:cs="Calibri"/>
          <w:color w:val="222222"/>
          <w:lang w:val="en-US" w:eastAsia="en-CA"/>
        </w:rPr>
        <w:t xml:space="preserve"> in-person surveys to attract non-traditional respondents for the 2018 CSS. </w:t>
      </w:r>
    </w:p>
    <w:p w14:paraId="626E061C" w14:textId="37D4A258" w:rsidR="005942C2" w:rsidRPr="003A2541" w:rsidRDefault="009F7B32" w:rsidP="004563E3">
      <w:pPr>
        <w:spacing w:line="480" w:lineRule="auto"/>
        <w:ind w:firstLine="720"/>
        <w:rPr>
          <w:rFonts w:ascii="Cambria" w:hAnsi="Cambria"/>
        </w:rPr>
      </w:pPr>
      <w:r>
        <w:rPr>
          <w:rFonts w:ascii="Cambria" w:hAnsi="Cambria"/>
        </w:rPr>
        <w:t xml:space="preserve">Also, </w:t>
      </w:r>
      <w:r w:rsidR="001D5D78" w:rsidRPr="003A2541">
        <w:rPr>
          <w:rFonts w:ascii="Cambria" w:hAnsi="Cambria"/>
        </w:rPr>
        <w:t xml:space="preserve">the TPS </w:t>
      </w:r>
      <w:r w:rsidR="00F30DF6">
        <w:rPr>
          <w:rFonts w:ascii="Cambria" w:hAnsi="Cambria"/>
        </w:rPr>
        <w:t>elected</w:t>
      </w:r>
      <w:r w:rsidR="001D5D78" w:rsidRPr="003A2541">
        <w:rPr>
          <w:rFonts w:ascii="Cambria" w:hAnsi="Cambria"/>
        </w:rPr>
        <w:t xml:space="preserve"> to pilot </w:t>
      </w:r>
      <w:r>
        <w:rPr>
          <w:rFonts w:ascii="Cambria" w:hAnsi="Cambria"/>
        </w:rPr>
        <w:t xml:space="preserve">a section on </w:t>
      </w:r>
      <w:r w:rsidR="005942C2" w:rsidRPr="003A2541">
        <w:rPr>
          <w:rFonts w:ascii="Cambria" w:hAnsi="Cambria"/>
        </w:rPr>
        <w:t xml:space="preserve">trust and confidence </w:t>
      </w:r>
      <w:r w:rsidR="00AA489F">
        <w:rPr>
          <w:rFonts w:ascii="Cambria" w:hAnsi="Cambria"/>
        </w:rPr>
        <w:t>for</w:t>
      </w:r>
      <w:r w:rsidR="005942C2" w:rsidRPr="003A2541">
        <w:rPr>
          <w:rFonts w:ascii="Cambria" w:hAnsi="Cambria"/>
        </w:rPr>
        <w:t xml:space="preserve"> the</w:t>
      </w:r>
      <w:r w:rsidR="001D5D78" w:rsidRPr="003A2541">
        <w:rPr>
          <w:rFonts w:ascii="Cambria" w:hAnsi="Cambria"/>
        </w:rPr>
        <w:t xml:space="preserve"> </w:t>
      </w:r>
      <w:r>
        <w:rPr>
          <w:rFonts w:ascii="Cambria" w:hAnsi="Cambria"/>
        </w:rPr>
        <w:t xml:space="preserve">2018 </w:t>
      </w:r>
      <w:r w:rsidR="001D5D78" w:rsidRPr="003A2541">
        <w:rPr>
          <w:rFonts w:ascii="Cambria" w:hAnsi="Cambria"/>
        </w:rPr>
        <w:t>CSS, following other police services</w:t>
      </w:r>
      <w:r w:rsidR="008851FA">
        <w:rPr>
          <w:rFonts w:ascii="Cambria" w:hAnsi="Cambria"/>
        </w:rPr>
        <w:t xml:space="preserve"> </w:t>
      </w:r>
      <w:r w:rsidR="005942C2" w:rsidRPr="003A2541">
        <w:rPr>
          <w:rFonts w:ascii="Cambria" w:hAnsi="Cambria"/>
        </w:rPr>
        <w:t>[</w:t>
      </w:r>
      <w:r w:rsidR="000517C0" w:rsidRPr="00167F7C">
        <w:rPr>
          <w:rFonts w:ascii="Cambria" w:hAnsi="Cambria"/>
        </w:rPr>
        <w:t>6</w:t>
      </w:r>
      <w:r w:rsidR="005942C2" w:rsidRPr="003A2541">
        <w:rPr>
          <w:rFonts w:ascii="Cambria" w:hAnsi="Cambria"/>
        </w:rPr>
        <w:t>].</w:t>
      </w:r>
      <w:r w:rsidR="005942C2" w:rsidRPr="003A2541">
        <w:rPr>
          <w:rFonts w:ascii="Cambria" w:hAnsi="Cambria" w:cs="Calibri"/>
          <w:color w:val="222222"/>
          <w:lang w:val="en-US" w:eastAsia="en-CA"/>
        </w:rPr>
        <w:t xml:space="preserve"> </w:t>
      </w:r>
      <w:r w:rsidR="003C3124">
        <w:rPr>
          <w:rFonts w:ascii="Cambria" w:hAnsi="Cambria" w:cs="Calibri"/>
          <w:color w:val="222222"/>
          <w:lang w:val="en-US" w:eastAsia="en-CA"/>
        </w:rPr>
        <w:t xml:space="preserve">Adding trust and confidence </w:t>
      </w:r>
      <w:r w:rsidR="002D3ACE">
        <w:rPr>
          <w:rFonts w:ascii="Cambria" w:hAnsi="Cambria"/>
        </w:rPr>
        <w:t>questions</w:t>
      </w:r>
      <w:r w:rsidR="002D3ACE">
        <w:rPr>
          <w:rFonts w:ascii="Cambria" w:hAnsi="Cambria" w:cs="Calibri"/>
          <w:color w:val="222222"/>
          <w:lang w:val="en-US" w:eastAsia="en-CA"/>
        </w:rPr>
        <w:t xml:space="preserve"> </w:t>
      </w:r>
      <w:r w:rsidR="008851FA">
        <w:rPr>
          <w:rFonts w:ascii="Cambria" w:hAnsi="Cambria" w:cs="Calibri"/>
          <w:color w:val="222222"/>
          <w:lang w:val="en-US" w:eastAsia="en-CA"/>
        </w:rPr>
        <w:t xml:space="preserve">gives </w:t>
      </w:r>
      <w:r w:rsidR="002D3ACE">
        <w:rPr>
          <w:rFonts w:ascii="Cambria" w:hAnsi="Cambria" w:cs="Calibri"/>
          <w:color w:val="222222"/>
          <w:lang w:val="en-US" w:eastAsia="en-CA"/>
        </w:rPr>
        <w:t>feedback</w:t>
      </w:r>
      <w:r w:rsidR="003C3124">
        <w:rPr>
          <w:rFonts w:ascii="Cambria" w:hAnsi="Cambria" w:cs="Calibri"/>
          <w:color w:val="222222"/>
          <w:lang w:val="en-US" w:eastAsia="en-CA"/>
        </w:rPr>
        <w:t xml:space="preserve"> beyond satisfaction because </w:t>
      </w:r>
      <w:r w:rsidR="003D5C46">
        <w:rPr>
          <w:rFonts w:ascii="Cambria" w:hAnsi="Cambria" w:cs="Calibri"/>
          <w:color w:val="222222"/>
          <w:lang w:val="en-US" w:eastAsia="en-CA"/>
        </w:rPr>
        <w:t>“</w:t>
      </w:r>
      <w:r w:rsidR="001D5D78" w:rsidRPr="003A2541">
        <w:rPr>
          <w:rFonts w:ascii="Cambria" w:hAnsi="Cambria"/>
          <w:color w:val="212121"/>
        </w:rPr>
        <w:t>t</w:t>
      </w:r>
      <w:r w:rsidR="005942C2" w:rsidRPr="003A2541">
        <w:rPr>
          <w:rFonts w:ascii="Cambria" w:hAnsi="Cambria"/>
          <w:color w:val="212121"/>
        </w:rPr>
        <w:t>rust extends beyond public perceptions that police perform their duties effectively (i.e. satisfaction) to include a sense that police make decisions fairly and treat people fairly</w:t>
      </w:r>
      <w:r w:rsidR="003D5C46">
        <w:rPr>
          <w:rFonts w:ascii="Cambria" w:hAnsi="Cambria"/>
          <w:color w:val="212121"/>
        </w:rPr>
        <w:t>”</w:t>
      </w:r>
      <w:r w:rsidR="005942C2" w:rsidRPr="003A2541">
        <w:rPr>
          <w:rFonts w:ascii="Cambria" w:hAnsi="Cambria"/>
          <w:color w:val="212121"/>
        </w:rPr>
        <w:t xml:space="preserve"> </w:t>
      </w:r>
      <w:r w:rsidR="005942C2" w:rsidRPr="003D5C46">
        <w:rPr>
          <w:rFonts w:ascii="Cambria" w:hAnsi="Cambria"/>
          <w:color w:val="212121"/>
        </w:rPr>
        <w:t>[</w:t>
      </w:r>
      <w:r w:rsidR="000517C0" w:rsidRPr="00167F7C">
        <w:rPr>
          <w:rFonts w:ascii="Cambria" w:hAnsi="Cambria"/>
          <w:color w:val="212121"/>
        </w:rPr>
        <w:t>7</w:t>
      </w:r>
      <w:r w:rsidR="005942C2" w:rsidRPr="003A2541">
        <w:rPr>
          <w:rFonts w:ascii="Cambria" w:hAnsi="Cambria"/>
        </w:rPr>
        <w:t xml:space="preserve">]. </w:t>
      </w:r>
      <w:r w:rsidR="00F424AC" w:rsidRPr="003A2541">
        <w:rPr>
          <w:rFonts w:ascii="Cambria" w:hAnsi="Cambria"/>
        </w:rPr>
        <w:t xml:space="preserve">Thus, </w:t>
      </w:r>
      <w:r w:rsidR="005942C2" w:rsidRPr="003A2541">
        <w:rPr>
          <w:rFonts w:ascii="Cambria" w:hAnsi="Cambria" w:cs="Calibri"/>
          <w:color w:val="222222"/>
          <w:lang w:val="en-US" w:eastAsia="en-CA"/>
        </w:rPr>
        <w:t xml:space="preserve">TBPS made three changes </w:t>
      </w:r>
      <w:r w:rsidR="009D46DF">
        <w:rPr>
          <w:rFonts w:ascii="Cambria" w:hAnsi="Cambria" w:cs="Calibri"/>
          <w:color w:val="222222"/>
          <w:lang w:val="en-US" w:eastAsia="en-CA"/>
        </w:rPr>
        <w:t>to</w:t>
      </w:r>
      <w:r w:rsidR="005942C2" w:rsidRPr="003A2541">
        <w:rPr>
          <w:rFonts w:ascii="Cambria" w:hAnsi="Cambria" w:cs="Calibri"/>
          <w:color w:val="222222"/>
          <w:lang w:val="en-US" w:eastAsia="en-CA"/>
        </w:rPr>
        <w:t xml:space="preserve"> the 2018 survey: </w:t>
      </w:r>
    </w:p>
    <w:p w14:paraId="31ED4C4B" w14:textId="739805DF" w:rsidR="005942C2" w:rsidRPr="003A2541" w:rsidRDefault="005942C2" w:rsidP="004563E3">
      <w:pPr>
        <w:spacing w:line="480" w:lineRule="auto"/>
        <w:ind w:left="1080" w:hanging="360"/>
        <w:rPr>
          <w:rFonts w:ascii="Cambria" w:hAnsi="Cambria"/>
        </w:rPr>
      </w:pPr>
      <w:r w:rsidRPr="003A2541">
        <w:rPr>
          <w:rFonts w:ascii="Cambria" w:eastAsia="Cambria" w:hAnsi="Cambria" w:cs="Cambria"/>
          <w:color w:val="222222"/>
          <w:lang w:val="en-US" w:eastAsia="en-CA"/>
        </w:rPr>
        <w:lastRenderedPageBreak/>
        <w:t>1.</w:t>
      </w:r>
      <w:r w:rsidRPr="003A2541">
        <w:rPr>
          <w:rFonts w:ascii="Cambria" w:eastAsia="Cambria" w:hAnsi="Cambria"/>
          <w:color w:val="222222"/>
          <w:lang w:val="en-US" w:eastAsia="en-CA"/>
        </w:rPr>
        <w:t xml:space="preserve">     </w:t>
      </w:r>
      <w:r w:rsidR="00564B04" w:rsidRPr="003A2541">
        <w:rPr>
          <w:rFonts w:ascii="Cambria" w:hAnsi="Cambria" w:cs="Calibri"/>
          <w:color w:val="222222"/>
          <w:lang w:val="en-US" w:eastAsia="en-CA"/>
        </w:rPr>
        <w:t>Added trust and confidence questions from other surveys</w:t>
      </w:r>
      <w:r w:rsidR="00F424AC" w:rsidRPr="003A2541">
        <w:rPr>
          <w:rFonts w:ascii="Cambria" w:hAnsi="Cambria" w:cs="Calibri"/>
          <w:color w:val="222222"/>
          <w:lang w:val="en-US" w:eastAsia="en-CA"/>
        </w:rPr>
        <w:t xml:space="preserve"> [</w:t>
      </w:r>
      <w:r w:rsidR="00167F7C" w:rsidRPr="00A16371">
        <w:rPr>
          <w:rFonts w:ascii="Cambria" w:hAnsi="Cambria" w:cs="Calibri"/>
          <w:color w:val="222222"/>
          <w:lang w:val="en-US" w:eastAsia="en-CA"/>
        </w:rPr>
        <w:t>8</w:t>
      </w:r>
      <w:r w:rsidR="00F424AC" w:rsidRPr="003A2541">
        <w:rPr>
          <w:rFonts w:ascii="Cambria" w:hAnsi="Cambria" w:cs="Calibri"/>
          <w:color w:val="222222"/>
          <w:lang w:val="en-US" w:eastAsia="en-CA"/>
        </w:rPr>
        <w:t xml:space="preserve">] </w:t>
      </w:r>
    </w:p>
    <w:p w14:paraId="7794B734" w14:textId="37F34342" w:rsidR="005942C2" w:rsidRPr="003A2541" w:rsidRDefault="005942C2" w:rsidP="004563E3">
      <w:pPr>
        <w:spacing w:line="480" w:lineRule="auto"/>
        <w:ind w:left="1080" w:hanging="360"/>
        <w:rPr>
          <w:rFonts w:ascii="Cambria" w:hAnsi="Cambria"/>
        </w:rPr>
      </w:pPr>
      <w:r w:rsidRPr="003A2541">
        <w:rPr>
          <w:rFonts w:ascii="Cambria" w:eastAsia="Cambria" w:hAnsi="Cambria" w:cs="Cambria"/>
          <w:color w:val="222222"/>
          <w:lang w:val="en-US" w:eastAsia="en-CA"/>
        </w:rPr>
        <w:t>2.</w:t>
      </w:r>
      <w:r w:rsidRPr="003A2541">
        <w:rPr>
          <w:rFonts w:ascii="Cambria" w:eastAsia="Cambria" w:hAnsi="Cambria"/>
          <w:color w:val="222222"/>
          <w:lang w:val="en-US" w:eastAsia="en-CA"/>
        </w:rPr>
        <w:t xml:space="preserve">     </w:t>
      </w:r>
      <w:r w:rsidR="00F424AC" w:rsidRPr="003A2541">
        <w:rPr>
          <w:rFonts w:ascii="Cambria" w:hAnsi="Cambria" w:cs="Calibri"/>
          <w:color w:val="222222"/>
          <w:lang w:val="en-US" w:eastAsia="en-CA"/>
        </w:rPr>
        <w:t>Piloted</w:t>
      </w:r>
      <w:r w:rsidR="00564B04" w:rsidRPr="003A2541">
        <w:rPr>
          <w:rFonts w:ascii="Cambria" w:hAnsi="Cambria" w:cs="Calibri"/>
          <w:color w:val="222222"/>
          <w:lang w:val="en-US" w:eastAsia="en-CA"/>
        </w:rPr>
        <w:t xml:space="preserve"> </w:t>
      </w:r>
      <w:r w:rsidR="00843AD5">
        <w:rPr>
          <w:rFonts w:ascii="Cambria" w:hAnsi="Cambria" w:cs="Calibri"/>
          <w:color w:val="222222"/>
          <w:lang w:val="en-US" w:eastAsia="en-CA"/>
        </w:rPr>
        <w:t>an</w:t>
      </w:r>
      <w:r w:rsidR="00564B04" w:rsidRPr="003A2541">
        <w:rPr>
          <w:rFonts w:ascii="Cambria" w:hAnsi="Cambria" w:cs="Calibri"/>
          <w:color w:val="222222"/>
          <w:lang w:val="en-US" w:eastAsia="en-CA"/>
        </w:rPr>
        <w:t xml:space="preserve"> </w:t>
      </w:r>
      <w:r w:rsidR="00F424AC" w:rsidRPr="003A2541">
        <w:rPr>
          <w:rFonts w:ascii="Cambria" w:hAnsi="Cambria" w:cs="Calibri"/>
          <w:color w:val="222222"/>
          <w:lang w:val="en-US" w:eastAsia="en-CA"/>
        </w:rPr>
        <w:t xml:space="preserve">in-person </w:t>
      </w:r>
      <w:r w:rsidR="00E51F15">
        <w:rPr>
          <w:rFonts w:ascii="Cambria" w:hAnsi="Cambria" w:cs="Calibri"/>
          <w:color w:val="222222"/>
          <w:lang w:val="en-US" w:eastAsia="en-CA"/>
        </w:rPr>
        <w:t xml:space="preserve">format </w:t>
      </w:r>
      <w:r w:rsidR="00843AD5">
        <w:rPr>
          <w:rFonts w:ascii="Cambria" w:hAnsi="Cambria" w:cs="Calibri"/>
          <w:color w:val="222222"/>
          <w:lang w:val="en-US" w:eastAsia="en-CA"/>
        </w:rPr>
        <w:t xml:space="preserve">of the </w:t>
      </w:r>
      <w:r w:rsidR="00843AD5" w:rsidRPr="003A2541">
        <w:rPr>
          <w:rFonts w:ascii="Cambria" w:hAnsi="Cambria" w:cs="Calibri"/>
          <w:color w:val="222222"/>
          <w:lang w:val="en-US" w:eastAsia="en-CA"/>
        </w:rPr>
        <w:t>CSS</w:t>
      </w:r>
      <w:r w:rsidR="00843AD5">
        <w:rPr>
          <w:rFonts w:ascii="Cambria" w:hAnsi="Cambria" w:cs="Calibri"/>
          <w:color w:val="222222"/>
          <w:lang w:val="en-US" w:eastAsia="en-CA"/>
        </w:rPr>
        <w:t xml:space="preserve"> </w:t>
      </w:r>
      <w:r w:rsidR="00E51F15">
        <w:rPr>
          <w:rFonts w:ascii="Cambria" w:hAnsi="Cambria" w:cs="Calibri"/>
          <w:color w:val="222222"/>
          <w:lang w:val="en-US" w:eastAsia="en-CA"/>
        </w:rPr>
        <w:t>to complement</w:t>
      </w:r>
      <w:r w:rsidR="00F424AC" w:rsidRPr="003A2541">
        <w:rPr>
          <w:rFonts w:ascii="Cambria" w:hAnsi="Cambria" w:cs="Calibri"/>
          <w:color w:val="222222"/>
          <w:lang w:val="en-US" w:eastAsia="en-CA"/>
        </w:rPr>
        <w:t xml:space="preserve"> </w:t>
      </w:r>
      <w:r w:rsidR="00564B04" w:rsidRPr="003A2541">
        <w:rPr>
          <w:rFonts w:ascii="Cambria" w:hAnsi="Cambria" w:cs="Calibri"/>
          <w:color w:val="222222"/>
          <w:lang w:val="en-US" w:eastAsia="en-CA"/>
        </w:rPr>
        <w:t>online</w:t>
      </w:r>
      <w:r w:rsidR="00E51F15">
        <w:rPr>
          <w:rFonts w:ascii="Cambria" w:hAnsi="Cambria" w:cs="Calibri"/>
          <w:color w:val="222222"/>
          <w:lang w:val="en-US" w:eastAsia="en-CA"/>
        </w:rPr>
        <w:t xml:space="preserve"> data collection</w:t>
      </w:r>
    </w:p>
    <w:p w14:paraId="1F453D8E" w14:textId="258AC076" w:rsidR="005942C2" w:rsidRPr="003A2541" w:rsidRDefault="005942C2" w:rsidP="00AA489F">
      <w:pPr>
        <w:spacing w:line="480" w:lineRule="auto"/>
        <w:ind w:left="1080" w:hanging="360"/>
        <w:rPr>
          <w:rFonts w:ascii="Cambria" w:hAnsi="Cambria" w:cs="Calibri"/>
          <w:color w:val="222222"/>
          <w:lang w:val="en-US" w:eastAsia="en-CA"/>
        </w:rPr>
      </w:pPr>
      <w:r w:rsidRPr="003A2541">
        <w:rPr>
          <w:rFonts w:ascii="Cambria" w:eastAsia="Cambria" w:hAnsi="Cambria" w:cs="Cambria"/>
          <w:color w:val="222222"/>
          <w:lang w:val="en-US" w:eastAsia="en-CA"/>
        </w:rPr>
        <w:t>3.</w:t>
      </w:r>
      <w:r w:rsidRPr="003A2541">
        <w:rPr>
          <w:rFonts w:ascii="Cambria" w:eastAsia="Cambria" w:hAnsi="Cambria"/>
          <w:color w:val="222222"/>
          <w:lang w:val="en-US" w:eastAsia="en-CA"/>
        </w:rPr>
        <w:t xml:space="preserve">     </w:t>
      </w:r>
      <w:r w:rsidR="00167F7C">
        <w:rPr>
          <w:rFonts w:ascii="Cambria" w:hAnsi="Cambria" w:cs="Calibri"/>
          <w:color w:val="222222"/>
          <w:lang w:val="en-US" w:eastAsia="en-CA"/>
        </w:rPr>
        <w:t xml:space="preserve">Reduced </w:t>
      </w:r>
      <w:proofErr w:type="spellStart"/>
      <w:r w:rsidR="00A16371">
        <w:rPr>
          <w:rFonts w:ascii="Cambria" w:hAnsi="Cambria" w:cs="Calibri"/>
          <w:color w:val="222222"/>
          <w:lang w:val="en-US" w:eastAsia="en-CA"/>
        </w:rPr>
        <w:t>tyears</w:t>
      </w:r>
      <w:proofErr w:type="spellEnd"/>
      <w:r w:rsidR="00A16371">
        <w:rPr>
          <w:rFonts w:ascii="Cambria" w:hAnsi="Cambria" w:cs="Calibri"/>
          <w:color w:val="222222"/>
          <w:lang w:val="en-US" w:eastAsia="en-CA"/>
        </w:rPr>
        <w:t xml:space="preserve"> within </w:t>
      </w:r>
      <w:r w:rsidRPr="003A2541">
        <w:rPr>
          <w:rFonts w:ascii="Cambria" w:hAnsi="Cambria" w:cs="Calibri"/>
          <w:color w:val="222222"/>
          <w:lang w:val="en-US" w:eastAsia="en-CA"/>
        </w:rPr>
        <w:t>age range (i.e. 18-24, 25-30, 35-44, 45-54, 65-74, 75</w:t>
      </w:r>
      <w:r w:rsidR="008851FA">
        <w:rPr>
          <w:rFonts w:ascii="Cambria" w:hAnsi="Cambria" w:cs="Calibri"/>
          <w:color w:val="222222"/>
          <w:lang w:val="en-US" w:eastAsia="en-CA"/>
        </w:rPr>
        <w:t>+</w:t>
      </w:r>
      <w:r w:rsidRPr="003A2541">
        <w:rPr>
          <w:rFonts w:ascii="Cambria" w:hAnsi="Cambria" w:cs="Calibri"/>
          <w:color w:val="222222"/>
          <w:lang w:val="en-US" w:eastAsia="en-CA"/>
        </w:rPr>
        <w:t xml:space="preserve">). </w:t>
      </w:r>
    </w:p>
    <w:p w14:paraId="4D186AE9" w14:textId="369E6593" w:rsidR="005942C2" w:rsidRPr="003A2541" w:rsidRDefault="005942C2" w:rsidP="00AA489F">
      <w:pPr>
        <w:pStyle w:val="Heading2"/>
        <w:spacing w:before="0" w:line="480" w:lineRule="auto"/>
        <w:jc w:val="center"/>
        <w:rPr>
          <w:rFonts w:ascii="Cambria" w:hAnsi="Cambria"/>
          <w:b/>
          <w:sz w:val="24"/>
          <w:szCs w:val="24"/>
        </w:rPr>
      </w:pPr>
      <w:bookmarkStart w:id="0" w:name="_Toc4154616"/>
      <w:r w:rsidRPr="003A2541">
        <w:rPr>
          <w:rFonts w:ascii="Cambria" w:hAnsi="Cambria"/>
          <w:b/>
          <w:color w:val="auto"/>
          <w:sz w:val="24"/>
          <w:szCs w:val="24"/>
        </w:rPr>
        <w:t>Method</w:t>
      </w:r>
      <w:bookmarkEnd w:id="0"/>
      <w:r w:rsidRPr="003A2541">
        <w:rPr>
          <w:rFonts w:ascii="Cambria" w:hAnsi="Cambria"/>
          <w:b/>
          <w:color w:val="auto"/>
          <w:sz w:val="24"/>
          <w:szCs w:val="24"/>
        </w:rPr>
        <w:t>s</w:t>
      </w:r>
    </w:p>
    <w:p w14:paraId="63E70257" w14:textId="4D15C017" w:rsidR="00117BDF" w:rsidRPr="003A2541" w:rsidRDefault="000645E9" w:rsidP="004563E3">
      <w:pPr>
        <w:spacing w:line="480" w:lineRule="auto"/>
        <w:ind w:firstLine="720"/>
        <w:rPr>
          <w:rFonts w:ascii="Cambria" w:hAnsi="Cambria"/>
        </w:rPr>
      </w:pPr>
      <w:r w:rsidRPr="003A2541">
        <w:rPr>
          <w:rFonts w:ascii="Cambria" w:hAnsi="Cambria"/>
        </w:rPr>
        <w:t xml:space="preserve">Desmoulins gained approval from the Research Ethics Board </w:t>
      </w:r>
      <w:r w:rsidR="0096126E">
        <w:rPr>
          <w:rFonts w:ascii="Cambria" w:hAnsi="Cambria"/>
        </w:rPr>
        <w:t xml:space="preserve">(REB) </w:t>
      </w:r>
      <w:r w:rsidRPr="003A2541">
        <w:rPr>
          <w:rFonts w:ascii="Cambria" w:hAnsi="Cambria"/>
        </w:rPr>
        <w:t>at Lakehead University</w:t>
      </w:r>
      <w:r w:rsidR="00281B6A">
        <w:rPr>
          <w:rFonts w:ascii="Cambria" w:hAnsi="Cambria"/>
        </w:rPr>
        <w:t xml:space="preserve"> to conduct the </w:t>
      </w:r>
      <w:r w:rsidR="000E1550">
        <w:rPr>
          <w:rFonts w:ascii="Cambria" w:hAnsi="Cambria"/>
        </w:rPr>
        <w:t xml:space="preserve">CSS </w:t>
      </w:r>
      <w:r w:rsidR="00281B6A">
        <w:rPr>
          <w:rFonts w:ascii="Cambria" w:hAnsi="Cambria"/>
        </w:rPr>
        <w:t xml:space="preserve">survey to citizens </w:t>
      </w:r>
      <w:r w:rsidR="008851FA">
        <w:rPr>
          <w:rFonts w:ascii="Cambria" w:hAnsi="Cambria"/>
        </w:rPr>
        <w:t>(</w:t>
      </w:r>
      <w:r w:rsidR="00281B6A">
        <w:rPr>
          <w:rFonts w:ascii="Cambria" w:hAnsi="Cambria"/>
        </w:rPr>
        <w:t xml:space="preserve">18 years </w:t>
      </w:r>
      <w:r w:rsidR="008851FA">
        <w:rPr>
          <w:rFonts w:ascii="Cambria" w:hAnsi="Cambria"/>
        </w:rPr>
        <w:t>and older)</w:t>
      </w:r>
      <w:r w:rsidRPr="003A2541">
        <w:rPr>
          <w:rFonts w:ascii="Cambria" w:hAnsi="Cambria"/>
        </w:rPr>
        <w:t xml:space="preserve">. </w:t>
      </w:r>
      <w:r w:rsidR="008851FA">
        <w:rPr>
          <w:rFonts w:ascii="Cambria" w:hAnsi="Cambria"/>
        </w:rPr>
        <w:t>S</w:t>
      </w:r>
      <w:r w:rsidRPr="003A2541">
        <w:rPr>
          <w:rFonts w:ascii="Cambria" w:hAnsi="Cambria"/>
        </w:rPr>
        <w:t>he</w:t>
      </w:r>
      <w:r w:rsidR="005942C2" w:rsidRPr="003A2541">
        <w:rPr>
          <w:rFonts w:ascii="Cambria" w:hAnsi="Cambria"/>
        </w:rPr>
        <w:t xml:space="preserve"> </w:t>
      </w:r>
      <w:r w:rsidR="000E1550">
        <w:rPr>
          <w:rFonts w:ascii="Cambria" w:hAnsi="Cambria"/>
        </w:rPr>
        <w:t>advertised for</w:t>
      </w:r>
      <w:r w:rsidRPr="003A2541">
        <w:rPr>
          <w:rFonts w:ascii="Cambria" w:hAnsi="Cambria"/>
        </w:rPr>
        <w:t xml:space="preserve"> </w:t>
      </w:r>
      <w:r w:rsidR="005942C2" w:rsidRPr="003A2541">
        <w:rPr>
          <w:rFonts w:ascii="Cambria" w:hAnsi="Cambria"/>
        </w:rPr>
        <w:t>graduate student</w:t>
      </w:r>
      <w:r w:rsidR="000E1550">
        <w:rPr>
          <w:rFonts w:ascii="Cambria" w:hAnsi="Cambria"/>
        </w:rPr>
        <w:t xml:space="preserve"> researchers </w:t>
      </w:r>
      <w:r w:rsidR="003A7889" w:rsidRPr="003A2541">
        <w:rPr>
          <w:rFonts w:ascii="Cambria" w:hAnsi="Cambria"/>
        </w:rPr>
        <w:t xml:space="preserve">in the Faculty of Education </w:t>
      </w:r>
      <w:r w:rsidR="005942C2" w:rsidRPr="003A2541">
        <w:rPr>
          <w:rFonts w:ascii="Cambria" w:hAnsi="Cambria"/>
        </w:rPr>
        <w:t>at Lakehead University</w:t>
      </w:r>
      <w:r w:rsidR="00BC7FBE">
        <w:rPr>
          <w:rFonts w:ascii="Cambria" w:hAnsi="Cambria"/>
        </w:rPr>
        <w:t xml:space="preserve"> f</w:t>
      </w:r>
      <w:r w:rsidR="00BC7FBE" w:rsidRPr="003A2541">
        <w:rPr>
          <w:rFonts w:ascii="Cambria" w:hAnsi="Cambria"/>
        </w:rPr>
        <w:t>or in-person data collection</w:t>
      </w:r>
      <w:r w:rsidR="005942C2" w:rsidRPr="003A2541">
        <w:rPr>
          <w:rFonts w:ascii="Cambria" w:hAnsi="Cambria"/>
        </w:rPr>
        <w:t xml:space="preserve">. She hired and trained five research assistants to </w:t>
      </w:r>
      <w:r w:rsidRPr="003A2541">
        <w:rPr>
          <w:rFonts w:ascii="Cambria" w:hAnsi="Cambria"/>
        </w:rPr>
        <w:t xml:space="preserve">conduct </w:t>
      </w:r>
      <w:r w:rsidR="005942C2" w:rsidRPr="003A2541">
        <w:rPr>
          <w:rFonts w:ascii="Cambria" w:hAnsi="Cambria"/>
        </w:rPr>
        <w:t xml:space="preserve">in-person </w:t>
      </w:r>
      <w:r w:rsidR="00C06F2E" w:rsidRPr="003A2541">
        <w:rPr>
          <w:rFonts w:ascii="Cambria" w:hAnsi="Cambria"/>
        </w:rPr>
        <w:t>survey</w:t>
      </w:r>
      <w:r w:rsidRPr="003A2541">
        <w:rPr>
          <w:rFonts w:ascii="Cambria" w:hAnsi="Cambria"/>
        </w:rPr>
        <w:t>s</w:t>
      </w:r>
      <w:r w:rsidR="005942C2" w:rsidRPr="003A2541">
        <w:rPr>
          <w:rFonts w:ascii="Cambria" w:hAnsi="Cambria"/>
        </w:rPr>
        <w:t xml:space="preserve">. Three research assistants were from Indigenous and other racialized groups. </w:t>
      </w:r>
    </w:p>
    <w:p w14:paraId="1A926A70" w14:textId="0790347C" w:rsidR="005942C2" w:rsidRPr="003A2541" w:rsidRDefault="00AA489F" w:rsidP="00AA489F">
      <w:pPr>
        <w:spacing w:line="480" w:lineRule="auto"/>
        <w:ind w:firstLine="720"/>
        <w:rPr>
          <w:rFonts w:ascii="Cambria" w:hAnsi="Cambria"/>
        </w:rPr>
      </w:pPr>
      <w:r w:rsidRPr="003A2541">
        <w:rPr>
          <w:rFonts w:ascii="Cambria" w:hAnsi="Cambria"/>
        </w:rPr>
        <w:t>The TBPS a</w:t>
      </w:r>
      <w:r>
        <w:rPr>
          <w:rFonts w:ascii="Cambria" w:hAnsi="Cambria"/>
        </w:rPr>
        <w:t>nnounced</w:t>
      </w:r>
      <w:r w:rsidRPr="003A2541">
        <w:rPr>
          <w:rFonts w:ascii="Cambria" w:hAnsi="Cambria"/>
        </w:rPr>
        <w:t xml:space="preserve"> the CSS (2018) to Thunder Bay</w:t>
      </w:r>
      <w:r>
        <w:rPr>
          <w:rFonts w:ascii="Cambria" w:hAnsi="Cambria"/>
        </w:rPr>
        <w:t>’s</w:t>
      </w:r>
      <w:r w:rsidRPr="003A2541">
        <w:rPr>
          <w:rFonts w:ascii="Cambria" w:hAnsi="Cambria"/>
        </w:rPr>
        <w:t xml:space="preserve"> citizens on </w:t>
      </w:r>
      <w:r>
        <w:rPr>
          <w:rFonts w:ascii="Cambria" w:hAnsi="Cambria"/>
        </w:rPr>
        <w:t xml:space="preserve">its </w:t>
      </w:r>
      <w:r w:rsidRPr="003A2541">
        <w:rPr>
          <w:rFonts w:ascii="Cambria" w:hAnsi="Cambria"/>
        </w:rPr>
        <w:t xml:space="preserve">website and social media, </w:t>
      </w:r>
      <w:r>
        <w:rPr>
          <w:rFonts w:ascii="Cambria" w:hAnsi="Cambria"/>
        </w:rPr>
        <w:t>and through external sources—</w:t>
      </w:r>
      <w:r w:rsidRPr="003A2541">
        <w:rPr>
          <w:rFonts w:ascii="Cambria" w:hAnsi="Cambria"/>
        </w:rPr>
        <w:t>print</w:t>
      </w:r>
      <w:r>
        <w:rPr>
          <w:rFonts w:ascii="Cambria" w:hAnsi="Cambria"/>
        </w:rPr>
        <w:t xml:space="preserve"> </w:t>
      </w:r>
      <w:r w:rsidRPr="003A2541">
        <w:rPr>
          <w:rFonts w:ascii="Cambria" w:hAnsi="Cambria"/>
        </w:rPr>
        <w:t>and broadcast media, and social media outlets [</w:t>
      </w:r>
      <w:r w:rsidRPr="00A16371">
        <w:rPr>
          <w:rFonts w:ascii="Cambria" w:hAnsi="Cambria"/>
        </w:rPr>
        <w:t>2</w:t>
      </w:r>
      <w:r w:rsidRPr="003A2541">
        <w:rPr>
          <w:rFonts w:ascii="Cambria" w:hAnsi="Cambria"/>
        </w:rPr>
        <w:t xml:space="preserve">]. </w:t>
      </w:r>
      <w:r>
        <w:rPr>
          <w:rFonts w:ascii="Cambria" w:hAnsi="Cambria"/>
        </w:rPr>
        <w:t xml:space="preserve"> </w:t>
      </w:r>
      <w:r w:rsidR="000E1550" w:rsidRPr="003A2541">
        <w:rPr>
          <w:rFonts w:ascii="Cambria" w:hAnsi="Cambria"/>
        </w:rPr>
        <w:t xml:space="preserve">The online and in-person survey formats asked the same questions, in the same order, and was open during the same time period (December 5 to 19, 2018). </w:t>
      </w:r>
      <w:r w:rsidR="000E1550">
        <w:rPr>
          <w:rFonts w:ascii="Cambria" w:hAnsi="Cambria"/>
        </w:rPr>
        <w:t xml:space="preserve">After it closed, researchers </w:t>
      </w:r>
      <w:r w:rsidR="00281B6A">
        <w:rPr>
          <w:rFonts w:ascii="Cambria" w:hAnsi="Cambria"/>
        </w:rPr>
        <w:t>remov</w:t>
      </w:r>
      <w:r w:rsidR="009507A4">
        <w:rPr>
          <w:rFonts w:ascii="Cambria" w:hAnsi="Cambria"/>
        </w:rPr>
        <w:t>ed</w:t>
      </w:r>
      <w:r w:rsidR="00281B6A">
        <w:rPr>
          <w:rFonts w:ascii="Cambria" w:hAnsi="Cambria"/>
        </w:rPr>
        <w:t xml:space="preserve"> disqualified respondents </w:t>
      </w:r>
      <w:r w:rsidR="00281B6A" w:rsidRPr="007E33D6">
        <w:rPr>
          <w:rFonts w:ascii="Cambria" w:hAnsi="Cambria"/>
        </w:rPr>
        <w:t>[</w:t>
      </w:r>
      <w:r w:rsidR="00A16371" w:rsidRPr="007E33D6">
        <w:rPr>
          <w:rFonts w:ascii="Cambria" w:hAnsi="Cambria"/>
        </w:rPr>
        <w:t>9</w:t>
      </w:r>
      <w:r w:rsidR="00281B6A" w:rsidRPr="007E33D6">
        <w:rPr>
          <w:rFonts w:ascii="Cambria" w:hAnsi="Cambria"/>
        </w:rPr>
        <w:t>]</w:t>
      </w:r>
      <w:r w:rsidR="000E1550">
        <w:rPr>
          <w:rFonts w:ascii="Cambria" w:hAnsi="Cambria"/>
        </w:rPr>
        <w:t>. In total</w:t>
      </w:r>
      <w:r w:rsidR="009D46DF">
        <w:rPr>
          <w:rFonts w:ascii="Cambria" w:hAnsi="Cambria"/>
        </w:rPr>
        <w:t>,</w:t>
      </w:r>
      <w:r w:rsidR="000E1550">
        <w:rPr>
          <w:rFonts w:ascii="Cambria" w:hAnsi="Cambria"/>
        </w:rPr>
        <w:t xml:space="preserve"> </w:t>
      </w:r>
      <w:r w:rsidR="00117BDF" w:rsidRPr="003A2541">
        <w:rPr>
          <w:rFonts w:ascii="Cambria" w:hAnsi="Cambria"/>
        </w:rPr>
        <w:t xml:space="preserve">2250 respondents completed the survey; 2038 respondents completed </w:t>
      </w:r>
      <w:r w:rsidR="00293855" w:rsidRPr="003A2541">
        <w:rPr>
          <w:rFonts w:ascii="Cambria" w:hAnsi="Cambria"/>
        </w:rPr>
        <w:t xml:space="preserve">the </w:t>
      </w:r>
      <w:r w:rsidR="002F56D5" w:rsidRPr="003A2541">
        <w:rPr>
          <w:rFonts w:ascii="Cambria" w:hAnsi="Cambria"/>
        </w:rPr>
        <w:t>CSS online</w:t>
      </w:r>
      <w:r w:rsidR="00117BDF" w:rsidRPr="003A2541">
        <w:rPr>
          <w:rFonts w:ascii="Cambria" w:hAnsi="Cambria"/>
        </w:rPr>
        <w:t xml:space="preserve"> and 212 completed </w:t>
      </w:r>
      <w:r w:rsidR="00293855" w:rsidRPr="003A2541">
        <w:rPr>
          <w:rFonts w:ascii="Cambria" w:hAnsi="Cambria"/>
        </w:rPr>
        <w:t xml:space="preserve">it </w:t>
      </w:r>
      <w:r w:rsidR="00117BDF" w:rsidRPr="003A2541">
        <w:rPr>
          <w:rFonts w:ascii="Cambria" w:hAnsi="Cambria"/>
        </w:rPr>
        <w:t xml:space="preserve">in-person. </w:t>
      </w:r>
    </w:p>
    <w:p w14:paraId="42413286" w14:textId="0591ABAA" w:rsidR="005942C2" w:rsidRPr="003A2541" w:rsidRDefault="005942C2" w:rsidP="004563E3">
      <w:pPr>
        <w:pStyle w:val="Heading2"/>
        <w:spacing w:before="0" w:line="480" w:lineRule="auto"/>
        <w:jc w:val="center"/>
        <w:rPr>
          <w:rFonts w:ascii="Cambria" w:hAnsi="Cambria"/>
          <w:b/>
          <w:sz w:val="24"/>
          <w:szCs w:val="24"/>
          <w:lang w:val="en-US"/>
        </w:rPr>
      </w:pPr>
      <w:bookmarkStart w:id="1" w:name="_Toc4154615"/>
      <w:r w:rsidRPr="003A2541">
        <w:rPr>
          <w:rFonts w:ascii="Cambria" w:hAnsi="Cambria"/>
          <w:b/>
          <w:color w:val="auto"/>
          <w:sz w:val="24"/>
          <w:szCs w:val="24"/>
          <w:lang w:val="en-US"/>
        </w:rPr>
        <w:t>Context</w:t>
      </w:r>
      <w:bookmarkEnd w:id="1"/>
      <w:r w:rsidRPr="003A2541">
        <w:rPr>
          <w:rFonts w:ascii="Cambria" w:hAnsi="Cambria"/>
          <w:b/>
          <w:color w:val="auto"/>
          <w:sz w:val="24"/>
          <w:szCs w:val="24"/>
          <w:lang w:val="en-US"/>
        </w:rPr>
        <w:t xml:space="preserve">s and limitations </w:t>
      </w:r>
      <w:r w:rsidR="00117BDF" w:rsidRPr="003A2541">
        <w:rPr>
          <w:rFonts w:ascii="Cambria" w:hAnsi="Cambria"/>
          <w:b/>
          <w:color w:val="auto"/>
          <w:sz w:val="24"/>
          <w:szCs w:val="24"/>
          <w:lang w:val="en-US"/>
        </w:rPr>
        <w:t>of</w:t>
      </w:r>
      <w:r w:rsidRPr="003A2541">
        <w:rPr>
          <w:rFonts w:ascii="Cambria" w:hAnsi="Cambria"/>
          <w:b/>
          <w:color w:val="auto"/>
          <w:sz w:val="24"/>
          <w:szCs w:val="24"/>
          <w:lang w:val="en-US"/>
        </w:rPr>
        <w:t xml:space="preserve"> the 2018 CSS</w:t>
      </w:r>
    </w:p>
    <w:p w14:paraId="7C48EE76" w14:textId="0C3AB890" w:rsidR="001C4E9B" w:rsidRPr="003A2541" w:rsidRDefault="007E33D6" w:rsidP="004563E3">
      <w:pPr>
        <w:spacing w:line="480" w:lineRule="auto"/>
        <w:ind w:firstLine="720"/>
        <w:rPr>
          <w:rFonts w:ascii="Cambria" w:hAnsi="Cambria"/>
          <w:lang w:val="en-US"/>
        </w:rPr>
      </w:pPr>
      <w:r>
        <w:rPr>
          <w:rFonts w:ascii="Cambria" w:hAnsi="Cambria"/>
          <w:lang w:val="en-US"/>
        </w:rPr>
        <w:t>R</w:t>
      </w:r>
      <w:r w:rsidR="005942C2" w:rsidRPr="003A2541">
        <w:rPr>
          <w:rFonts w:ascii="Cambria" w:hAnsi="Cambria"/>
          <w:lang w:val="en-US"/>
        </w:rPr>
        <w:t xml:space="preserve">esearchers strive for </w:t>
      </w:r>
      <w:r w:rsidR="00666EA6" w:rsidRPr="003A2541">
        <w:rPr>
          <w:rFonts w:ascii="Cambria" w:hAnsi="Cambria"/>
          <w:lang w:val="en-US"/>
        </w:rPr>
        <w:t xml:space="preserve">constant </w:t>
      </w:r>
      <w:r w:rsidR="005942C2" w:rsidRPr="003A2541">
        <w:rPr>
          <w:rFonts w:ascii="Cambria" w:hAnsi="Cambria"/>
          <w:lang w:val="en-US"/>
        </w:rPr>
        <w:t xml:space="preserve">conditions </w:t>
      </w:r>
      <w:r>
        <w:rPr>
          <w:rFonts w:ascii="Cambria" w:hAnsi="Cambria"/>
          <w:lang w:val="en-US"/>
        </w:rPr>
        <w:t>while conducting surveys</w:t>
      </w:r>
      <w:r w:rsidR="005942C2" w:rsidRPr="003A2541">
        <w:rPr>
          <w:rFonts w:ascii="Cambria" w:hAnsi="Cambria"/>
          <w:lang w:val="en-US"/>
        </w:rPr>
        <w:t xml:space="preserve">. </w:t>
      </w:r>
      <w:r w:rsidR="003A7889" w:rsidRPr="003A2541">
        <w:rPr>
          <w:rFonts w:ascii="Cambria" w:hAnsi="Cambria"/>
          <w:lang w:val="en-US"/>
        </w:rPr>
        <w:t>F</w:t>
      </w:r>
      <w:r w:rsidR="005942C2" w:rsidRPr="003A2541">
        <w:rPr>
          <w:rFonts w:ascii="Cambria" w:hAnsi="Cambria"/>
          <w:lang w:val="en-US"/>
        </w:rPr>
        <w:t xml:space="preserve">or the 2018 CSS, several events </w:t>
      </w:r>
      <w:r w:rsidR="00EF372E">
        <w:rPr>
          <w:rFonts w:ascii="Cambria" w:hAnsi="Cambria"/>
          <w:lang w:val="en-US"/>
        </w:rPr>
        <w:t>happened</w:t>
      </w:r>
      <w:r w:rsidR="00666EA6" w:rsidRPr="003A2541">
        <w:rPr>
          <w:rFonts w:ascii="Cambria" w:hAnsi="Cambria"/>
          <w:lang w:val="en-US"/>
        </w:rPr>
        <w:t xml:space="preserve"> </w:t>
      </w:r>
      <w:r w:rsidR="000E1550">
        <w:rPr>
          <w:rFonts w:ascii="Cambria" w:hAnsi="Cambria"/>
          <w:lang w:val="en-US"/>
        </w:rPr>
        <w:t>between December 5</w:t>
      </w:r>
      <w:r w:rsidR="000E1550" w:rsidRPr="000E1550">
        <w:rPr>
          <w:rFonts w:ascii="Cambria" w:hAnsi="Cambria"/>
          <w:vertAlign w:val="superscript"/>
          <w:lang w:val="en-US"/>
        </w:rPr>
        <w:t>th</w:t>
      </w:r>
      <w:r w:rsidR="000E1550">
        <w:rPr>
          <w:rFonts w:ascii="Cambria" w:hAnsi="Cambria"/>
          <w:lang w:val="en-US"/>
        </w:rPr>
        <w:t xml:space="preserve"> to 19</w:t>
      </w:r>
      <w:r w:rsidR="000E1550" w:rsidRPr="000E1550">
        <w:rPr>
          <w:rFonts w:ascii="Cambria" w:hAnsi="Cambria"/>
          <w:vertAlign w:val="superscript"/>
          <w:lang w:val="en-US"/>
        </w:rPr>
        <w:t>th</w:t>
      </w:r>
      <w:r w:rsidR="000E1550">
        <w:rPr>
          <w:rFonts w:ascii="Cambria" w:hAnsi="Cambria"/>
          <w:lang w:val="en-US"/>
        </w:rPr>
        <w:t xml:space="preserve">, </w:t>
      </w:r>
      <w:r>
        <w:rPr>
          <w:rFonts w:ascii="Cambria" w:hAnsi="Cambria"/>
          <w:lang w:val="en-US"/>
        </w:rPr>
        <w:t>while the survey was open</w:t>
      </w:r>
      <w:r w:rsidR="00666EA6" w:rsidRPr="003A2541">
        <w:rPr>
          <w:rFonts w:ascii="Cambria" w:hAnsi="Cambria"/>
          <w:lang w:val="en-US"/>
        </w:rPr>
        <w:t>:</w:t>
      </w:r>
      <w:r w:rsidR="005942C2" w:rsidRPr="003A2541">
        <w:rPr>
          <w:rFonts w:ascii="Cambria" w:hAnsi="Cambria"/>
          <w:lang w:val="en-US"/>
        </w:rPr>
        <w:t xml:space="preserve"> </w:t>
      </w:r>
    </w:p>
    <w:p w14:paraId="4AA49683" w14:textId="43C720C3" w:rsidR="001C4E9B" w:rsidRPr="003A2541" w:rsidRDefault="00117BDF" w:rsidP="004563E3">
      <w:pPr>
        <w:pStyle w:val="ListParagraph"/>
        <w:numPr>
          <w:ilvl w:val="0"/>
          <w:numId w:val="3"/>
        </w:numPr>
        <w:spacing w:after="0" w:line="480" w:lineRule="auto"/>
        <w:rPr>
          <w:rFonts w:ascii="Cambria" w:eastAsia="Times New Roman" w:hAnsi="Cambria" w:cs="Times New Roman"/>
          <w:sz w:val="24"/>
          <w:szCs w:val="24"/>
          <w:lang w:val="en-US"/>
        </w:rPr>
      </w:pPr>
      <w:r w:rsidRPr="003A2541">
        <w:rPr>
          <w:rFonts w:ascii="Cambria" w:eastAsia="Times New Roman" w:hAnsi="Cambria" w:cs="Times New Roman"/>
          <w:sz w:val="24"/>
          <w:szCs w:val="24"/>
          <w:lang w:val="en-US"/>
        </w:rPr>
        <w:t xml:space="preserve">On </w:t>
      </w:r>
      <w:r w:rsidRPr="007E33D6">
        <w:rPr>
          <w:rFonts w:ascii="Cambria" w:eastAsia="Times New Roman" w:hAnsi="Cambria" w:cs="Times New Roman"/>
          <w:sz w:val="24"/>
          <w:szCs w:val="24"/>
          <w:lang w:val="en-US"/>
        </w:rPr>
        <w:t>D</w:t>
      </w:r>
      <w:r w:rsidR="007E33D6" w:rsidRPr="007E33D6">
        <w:rPr>
          <w:rFonts w:ascii="Cambria" w:eastAsia="Times New Roman" w:hAnsi="Cambria" w:cs="Times New Roman"/>
          <w:sz w:val="24"/>
          <w:szCs w:val="24"/>
          <w:lang w:val="en-US"/>
        </w:rPr>
        <w:t>ecember 6, 2018</w:t>
      </w:r>
      <w:r w:rsidRPr="003A2541">
        <w:rPr>
          <w:rFonts w:ascii="Cambria" w:eastAsia="Times New Roman" w:hAnsi="Cambria" w:cs="Times New Roman"/>
          <w:sz w:val="24"/>
          <w:szCs w:val="24"/>
          <w:lang w:val="en-US"/>
        </w:rPr>
        <w:t>,</w:t>
      </w:r>
      <w:r w:rsidR="005942C2" w:rsidRPr="003A2541">
        <w:rPr>
          <w:rFonts w:ascii="Cambria" w:eastAsia="Times New Roman" w:hAnsi="Cambria" w:cs="Times New Roman"/>
          <w:sz w:val="24"/>
          <w:szCs w:val="24"/>
          <w:lang w:val="en-US"/>
        </w:rPr>
        <w:t xml:space="preserve"> </w:t>
      </w:r>
      <w:r w:rsidR="007E33D6">
        <w:rPr>
          <w:rFonts w:ascii="Cambria" w:eastAsia="Times New Roman" w:hAnsi="Cambria" w:cs="Times New Roman"/>
          <w:sz w:val="24"/>
          <w:szCs w:val="24"/>
          <w:lang w:val="en-US"/>
        </w:rPr>
        <w:t xml:space="preserve">the TBPS reported </w:t>
      </w:r>
      <w:r w:rsidR="005942C2" w:rsidRPr="003A2541">
        <w:rPr>
          <w:rFonts w:ascii="Cambria" w:eastAsia="Times New Roman" w:hAnsi="Cambria" w:cs="Times New Roman"/>
          <w:sz w:val="24"/>
          <w:szCs w:val="24"/>
          <w:lang w:val="en-US"/>
        </w:rPr>
        <w:t xml:space="preserve">Braiden Jacob, </w:t>
      </w:r>
      <w:r w:rsidR="007E33D6" w:rsidRPr="003A2541">
        <w:rPr>
          <w:rFonts w:ascii="Cambria" w:eastAsia="Times New Roman" w:hAnsi="Cambria" w:cs="Times New Roman"/>
          <w:sz w:val="24"/>
          <w:szCs w:val="24"/>
          <w:lang w:val="en-US"/>
        </w:rPr>
        <w:t xml:space="preserve">a First Nations youth, </w:t>
      </w:r>
      <w:r w:rsidR="005942C2" w:rsidRPr="003A2541">
        <w:rPr>
          <w:rFonts w:ascii="Cambria" w:eastAsia="Times New Roman" w:hAnsi="Cambria" w:cs="Times New Roman"/>
          <w:sz w:val="24"/>
          <w:szCs w:val="24"/>
          <w:lang w:val="en-US"/>
        </w:rPr>
        <w:t xml:space="preserve">missing. </w:t>
      </w:r>
      <w:r w:rsidR="005942C2" w:rsidRPr="003A2541">
        <w:rPr>
          <w:rFonts w:ascii="Cambria" w:eastAsia="Times New Roman" w:hAnsi="Cambria" w:cs="Times New Roman"/>
          <w:color w:val="222222"/>
          <w:sz w:val="24"/>
          <w:szCs w:val="24"/>
        </w:rPr>
        <w:t xml:space="preserve">Tragically, his body was found four days later. TBPS </w:t>
      </w:r>
      <w:r w:rsidR="00EF372E">
        <w:rPr>
          <w:rFonts w:ascii="Cambria" w:eastAsia="Times New Roman" w:hAnsi="Cambria" w:cs="Times New Roman"/>
          <w:color w:val="222222"/>
          <w:sz w:val="24"/>
          <w:szCs w:val="24"/>
        </w:rPr>
        <w:t xml:space="preserve">investigators </w:t>
      </w:r>
      <w:r w:rsidR="005942C2" w:rsidRPr="003A2541">
        <w:rPr>
          <w:rFonts w:ascii="Cambria" w:eastAsia="Times New Roman" w:hAnsi="Cambria" w:cs="Times New Roman"/>
          <w:color w:val="222222"/>
          <w:sz w:val="24"/>
          <w:szCs w:val="24"/>
        </w:rPr>
        <w:t>ruled his death a homicide</w:t>
      </w:r>
      <w:r w:rsidR="00EF372E">
        <w:rPr>
          <w:rFonts w:ascii="Cambria" w:eastAsia="Times New Roman" w:hAnsi="Cambria" w:cs="Times New Roman"/>
          <w:color w:val="222222"/>
          <w:sz w:val="24"/>
          <w:szCs w:val="24"/>
        </w:rPr>
        <w:t xml:space="preserve">. The TBPS </w:t>
      </w:r>
      <w:r w:rsidR="005942C2" w:rsidRPr="003A2541">
        <w:rPr>
          <w:rFonts w:ascii="Cambria" w:eastAsia="Times New Roman" w:hAnsi="Cambria" w:cs="Times New Roman"/>
          <w:color w:val="222222"/>
          <w:sz w:val="24"/>
          <w:szCs w:val="24"/>
        </w:rPr>
        <w:t xml:space="preserve">later charged a man with his death </w:t>
      </w:r>
      <w:r w:rsidR="005942C2" w:rsidRPr="00D44A01">
        <w:rPr>
          <w:rFonts w:ascii="Cambria" w:eastAsia="Times New Roman" w:hAnsi="Cambria" w:cs="Times New Roman"/>
          <w:color w:val="222222"/>
          <w:sz w:val="24"/>
          <w:szCs w:val="24"/>
        </w:rPr>
        <w:t>[</w:t>
      </w:r>
      <w:r w:rsidR="00192FC4" w:rsidRPr="00D44A01">
        <w:rPr>
          <w:rFonts w:ascii="Cambria" w:eastAsia="Times New Roman" w:hAnsi="Cambria" w:cs="Times New Roman"/>
          <w:color w:val="222222"/>
          <w:sz w:val="24"/>
          <w:szCs w:val="24"/>
        </w:rPr>
        <w:t>1</w:t>
      </w:r>
      <w:r w:rsidR="007E33D6" w:rsidRPr="00D44A01">
        <w:rPr>
          <w:rFonts w:ascii="Cambria" w:eastAsia="Times New Roman" w:hAnsi="Cambria" w:cs="Times New Roman"/>
          <w:color w:val="222222"/>
          <w:sz w:val="24"/>
          <w:szCs w:val="24"/>
        </w:rPr>
        <w:t>0</w:t>
      </w:r>
      <w:r w:rsidR="005942C2" w:rsidRPr="00D44A01">
        <w:rPr>
          <w:rFonts w:ascii="Cambria" w:eastAsia="Times New Roman" w:hAnsi="Cambria" w:cs="Times New Roman"/>
          <w:color w:val="222222"/>
          <w:sz w:val="24"/>
          <w:szCs w:val="24"/>
        </w:rPr>
        <w:t>].</w:t>
      </w:r>
      <w:r w:rsidR="005942C2" w:rsidRPr="003A2541">
        <w:rPr>
          <w:rFonts w:ascii="Cambria" w:eastAsia="Times New Roman" w:hAnsi="Cambria" w:cs="Times New Roman"/>
          <w:color w:val="222222"/>
          <w:sz w:val="24"/>
          <w:szCs w:val="24"/>
        </w:rPr>
        <w:t xml:space="preserve"> </w:t>
      </w:r>
    </w:p>
    <w:p w14:paraId="6EC16620" w14:textId="52039D88" w:rsidR="009D46DF" w:rsidRDefault="001C4E9B" w:rsidP="009D46DF">
      <w:pPr>
        <w:pStyle w:val="ListParagraph"/>
        <w:numPr>
          <w:ilvl w:val="0"/>
          <w:numId w:val="3"/>
        </w:numPr>
        <w:spacing w:after="0" w:line="480" w:lineRule="auto"/>
        <w:rPr>
          <w:rFonts w:ascii="Cambria" w:eastAsia="Times New Roman" w:hAnsi="Cambria" w:cs="Times New Roman"/>
          <w:sz w:val="24"/>
          <w:szCs w:val="24"/>
          <w:lang w:val="en-US"/>
        </w:rPr>
      </w:pPr>
      <w:r w:rsidRPr="003A2541">
        <w:rPr>
          <w:rFonts w:ascii="Cambria" w:eastAsia="Times New Roman" w:hAnsi="Cambria" w:cs="Times New Roman"/>
          <w:color w:val="222222"/>
          <w:sz w:val="24"/>
          <w:szCs w:val="24"/>
        </w:rPr>
        <w:lastRenderedPageBreak/>
        <w:t>O</w:t>
      </w:r>
      <w:proofErr w:type="spellStart"/>
      <w:r w:rsidR="005942C2" w:rsidRPr="003A2541">
        <w:rPr>
          <w:rFonts w:ascii="Cambria" w:eastAsia="Times New Roman" w:hAnsi="Cambria" w:cs="Times New Roman"/>
          <w:sz w:val="24"/>
          <w:szCs w:val="24"/>
          <w:lang w:val="en-US"/>
        </w:rPr>
        <w:t>n</w:t>
      </w:r>
      <w:proofErr w:type="spellEnd"/>
      <w:r w:rsidR="005942C2" w:rsidRPr="003A2541">
        <w:rPr>
          <w:rFonts w:ascii="Cambria" w:eastAsia="Times New Roman" w:hAnsi="Cambria" w:cs="Times New Roman"/>
          <w:sz w:val="24"/>
          <w:szCs w:val="24"/>
          <w:lang w:val="en-US"/>
        </w:rPr>
        <w:t xml:space="preserve"> December 12, 2018, </w:t>
      </w:r>
      <w:r w:rsidR="00CE3197">
        <w:rPr>
          <w:rFonts w:ascii="Cambria" w:eastAsia="Times New Roman" w:hAnsi="Cambria" w:cs="Times New Roman"/>
          <w:sz w:val="24"/>
          <w:szCs w:val="24"/>
          <w:lang w:val="en-US"/>
        </w:rPr>
        <w:t>t</w:t>
      </w:r>
      <w:r w:rsidR="005942C2" w:rsidRPr="003A2541">
        <w:rPr>
          <w:rFonts w:ascii="Cambria" w:eastAsia="Times New Roman" w:hAnsi="Cambria" w:cs="Times New Roman"/>
          <w:sz w:val="24"/>
          <w:szCs w:val="24"/>
          <w:lang w:val="en-US"/>
        </w:rPr>
        <w:t>he Office of the Independent Police Review Director (OIPRD)</w:t>
      </w:r>
      <w:r w:rsidR="00117BDF" w:rsidRPr="003A2541">
        <w:rPr>
          <w:rFonts w:ascii="Cambria" w:eastAsia="Times New Roman" w:hAnsi="Cambria" w:cs="Times New Roman"/>
          <w:sz w:val="24"/>
          <w:szCs w:val="24"/>
          <w:lang w:val="en-US"/>
        </w:rPr>
        <w:t>,</w:t>
      </w:r>
      <w:r w:rsidR="005942C2" w:rsidRPr="003A2541">
        <w:rPr>
          <w:rFonts w:ascii="Cambria" w:eastAsia="Times New Roman" w:hAnsi="Cambria" w:cs="Times New Roman"/>
          <w:sz w:val="24"/>
          <w:szCs w:val="24"/>
          <w:lang w:val="en-US"/>
        </w:rPr>
        <w:t xml:space="preserve"> </w:t>
      </w:r>
      <w:r w:rsidR="00117BDF" w:rsidRPr="003A2541">
        <w:rPr>
          <w:rFonts w:ascii="Cambria" w:eastAsia="Times New Roman" w:hAnsi="Cambria" w:cs="Times New Roman"/>
          <w:sz w:val="24"/>
          <w:szCs w:val="24"/>
          <w:lang w:val="en-US"/>
        </w:rPr>
        <w:t xml:space="preserve">G. McNeilly, </w:t>
      </w:r>
      <w:r w:rsidR="005942C2" w:rsidRPr="003A2541">
        <w:rPr>
          <w:rFonts w:ascii="Cambria" w:eastAsia="Times New Roman" w:hAnsi="Cambria" w:cs="Times New Roman"/>
          <w:sz w:val="24"/>
          <w:szCs w:val="24"/>
          <w:lang w:val="en-US"/>
        </w:rPr>
        <w:t xml:space="preserve">released </w:t>
      </w:r>
      <w:r w:rsidR="00117BDF" w:rsidRPr="003A2541">
        <w:rPr>
          <w:rFonts w:ascii="Cambria" w:eastAsia="Times New Roman" w:hAnsi="Cambria" w:cs="Times New Roman"/>
          <w:sz w:val="24"/>
          <w:szCs w:val="24"/>
          <w:lang w:val="en-US"/>
        </w:rPr>
        <w:t xml:space="preserve">his </w:t>
      </w:r>
      <w:r w:rsidR="005942C2" w:rsidRPr="003A2541">
        <w:rPr>
          <w:rFonts w:ascii="Cambria" w:eastAsia="Times New Roman" w:hAnsi="Cambria" w:cs="Times New Roman"/>
          <w:sz w:val="24"/>
          <w:szCs w:val="24"/>
          <w:lang w:val="en-US"/>
        </w:rPr>
        <w:t>report</w:t>
      </w:r>
      <w:r w:rsidR="000E1A16">
        <w:rPr>
          <w:rFonts w:ascii="Cambria" w:eastAsia="Times New Roman" w:hAnsi="Cambria" w:cs="Times New Roman"/>
          <w:sz w:val="24"/>
          <w:szCs w:val="24"/>
          <w:lang w:val="en-US"/>
        </w:rPr>
        <w:t xml:space="preserve">, </w:t>
      </w:r>
      <w:r w:rsidR="000E1A16" w:rsidRPr="000E1A16">
        <w:rPr>
          <w:rFonts w:ascii="Cambria" w:eastAsia="Times New Roman" w:hAnsi="Cambria" w:cs="Times New Roman"/>
          <w:i/>
          <w:sz w:val="24"/>
          <w:szCs w:val="24"/>
          <w:lang w:val="en-US"/>
        </w:rPr>
        <w:t>Broken Trust</w:t>
      </w:r>
      <w:r w:rsidR="000E1A16">
        <w:rPr>
          <w:rFonts w:ascii="Cambria" w:eastAsia="Times New Roman" w:hAnsi="Cambria" w:cs="Times New Roman"/>
          <w:sz w:val="24"/>
          <w:szCs w:val="24"/>
          <w:lang w:val="en-US"/>
        </w:rPr>
        <w:t>, which</w:t>
      </w:r>
      <w:r w:rsidR="005942C2" w:rsidRPr="003A2541">
        <w:rPr>
          <w:rFonts w:ascii="Cambria" w:eastAsia="Times New Roman" w:hAnsi="Cambria" w:cs="Times New Roman"/>
          <w:sz w:val="24"/>
          <w:szCs w:val="24"/>
          <w:lang w:val="en-US"/>
        </w:rPr>
        <w:t xml:space="preserve"> </w:t>
      </w:r>
      <w:r w:rsidR="00AB4919">
        <w:rPr>
          <w:rFonts w:ascii="Cambria" w:eastAsia="Times New Roman" w:hAnsi="Cambria" w:cs="Times New Roman"/>
          <w:sz w:val="24"/>
          <w:szCs w:val="24"/>
          <w:lang w:val="en-US"/>
        </w:rPr>
        <w:t>f</w:t>
      </w:r>
      <w:r w:rsidR="001F4BF3">
        <w:rPr>
          <w:rFonts w:ascii="Cambria" w:eastAsia="Times New Roman" w:hAnsi="Cambria" w:cs="Times New Roman"/>
          <w:sz w:val="24"/>
          <w:szCs w:val="24"/>
          <w:lang w:val="en-US"/>
        </w:rPr>
        <w:t>ound</w:t>
      </w:r>
      <w:r w:rsidR="00AB4919">
        <w:rPr>
          <w:rFonts w:ascii="Cambria" w:eastAsia="Times New Roman" w:hAnsi="Cambria" w:cs="Times New Roman"/>
          <w:sz w:val="24"/>
          <w:szCs w:val="24"/>
          <w:lang w:val="en-US"/>
        </w:rPr>
        <w:t xml:space="preserve"> that systemic racism exists in TBPS at an institutional level </w:t>
      </w:r>
      <w:r w:rsidR="005942C2" w:rsidRPr="00D44A01">
        <w:rPr>
          <w:rFonts w:ascii="Cambria" w:eastAsia="Times New Roman" w:hAnsi="Cambria" w:cs="Times New Roman"/>
          <w:sz w:val="24"/>
          <w:szCs w:val="24"/>
          <w:lang w:val="en-US"/>
        </w:rPr>
        <w:t>[</w:t>
      </w:r>
      <w:r w:rsidR="00192FC4" w:rsidRPr="00D44A01">
        <w:rPr>
          <w:rFonts w:ascii="Cambria" w:eastAsia="Times New Roman" w:hAnsi="Cambria" w:cs="Times New Roman"/>
          <w:sz w:val="24"/>
          <w:szCs w:val="24"/>
          <w:lang w:val="en-US"/>
        </w:rPr>
        <w:t>1</w:t>
      </w:r>
      <w:r w:rsidR="00D44A01" w:rsidRPr="00D44A01">
        <w:rPr>
          <w:rFonts w:ascii="Cambria" w:eastAsia="Times New Roman" w:hAnsi="Cambria" w:cs="Times New Roman"/>
          <w:sz w:val="24"/>
          <w:szCs w:val="24"/>
          <w:lang w:val="en-US"/>
        </w:rPr>
        <w:t>1</w:t>
      </w:r>
      <w:r w:rsidR="005942C2" w:rsidRPr="003A2541">
        <w:rPr>
          <w:rFonts w:ascii="Cambria" w:eastAsia="Times New Roman" w:hAnsi="Cambria" w:cs="Times New Roman"/>
          <w:sz w:val="24"/>
          <w:szCs w:val="24"/>
          <w:lang w:val="en-US"/>
        </w:rPr>
        <w:t xml:space="preserve">]. </w:t>
      </w:r>
    </w:p>
    <w:p w14:paraId="55D233E7" w14:textId="0CDD6082" w:rsidR="001C4E9B" w:rsidRPr="009D46DF" w:rsidRDefault="005942C2" w:rsidP="009D46DF">
      <w:pPr>
        <w:pStyle w:val="ListParagraph"/>
        <w:numPr>
          <w:ilvl w:val="0"/>
          <w:numId w:val="3"/>
        </w:numPr>
        <w:spacing w:after="0" w:line="480" w:lineRule="auto"/>
        <w:rPr>
          <w:rFonts w:ascii="Cambria" w:eastAsia="Times New Roman" w:hAnsi="Cambria" w:cs="Times New Roman"/>
          <w:sz w:val="24"/>
          <w:szCs w:val="24"/>
          <w:lang w:val="en-US"/>
        </w:rPr>
      </w:pPr>
      <w:r w:rsidRPr="009D46DF">
        <w:rPr>
          <w:rFonts w:ascii="Cambria" w:eastAsia="Times New Roman" w:hAnsi="Cambria" w:cs="Times New Roman"/>
          <w:sz w:val="24"/>
          <w:szCs w:val="24"/>
          <w:lang w:val="en-US"/>
        </w:rPr>
        <w:t xml:space="preserve">The </w:t>
      </w:r>
      <w:r w:rsidR="00F65E11" w:rsidRPr="009D46DF">
        <w:rPr>
          <w:rFonts w:ascii="Cambria" w:eastAsia="Times New Roman" w:hAnsi="Cambria" w:cs="Times New Roman"/>
          <w:sz w:val="24"/>
          <w:szCs w:val="24"/>
          <w:lang w:val="en-US"/>
        </w:rPr>
        <w:t>next</w:t>
      </w:r>
      <w:r w:rsidRPr="009D46DF">
        <w:rPr>
          <w:rFonts w:ascii="Cambria" w:eastAsia="Times New Roman" w:hAnsi="Cambria" w:cs="Times New Roman"/>
          <w:sz w:val="24"/>
          <w:szCs w:val="24"/>
          <w:lang w:val="en-US"/>
        </w:rPr>
        <w:t xml:space="preserve"> day, </w:t>
      </w:r>
      <w:r w:rsidR="009D46DF" w:rsidRPr="009D46DF">
        <w:rPr>
          <w:rFonts w:ascii="Cambria" w:eastAsia="Times New Roman" w:hAnsi="Cambria" w:cs="Times New Roman"/>
          <w:sz w:val="24"/>
          <w:szCs w:val="24"/>
          <w:lang w:val="en-US"/>
        </w:rPr>
        <w:t xml:space="preserve">M. </w:t>
      </w:r>
      <w:r w:rsidRPr="009D46DF">
        <w:rPr>
          <w:rFonts w:ascii="Cambria" w:eastAsia="Times New Roman" w:hAnsi="Cambria" w:cs="Times New Roman"/>
          <w:sz w:val="24"/>
          <w:szCs w:val="24"/>
          <w:lang w:val="en-US"/>
        </w:rPr>
        <w:t xml:space="preserve">Sinclair released </w:t>
      </w:r>
      <w:r w:rsidR="009D46DF" w:rsidRPr="009D46DF">
        <w:rPr>
          <w:rFonts w:ascii="Cambria" w:eastAsia="Times New Roman" w:hAnsi="Cambria" w:cs="Times New Roman"/>
          <w:sz w:val="24"/>
          <w:szCs w:val="24"/>
          <w:lang w:val="en-US"/>
        </w:rPr>
        <w:t>his</w:t>
      </w:r>
      <w:r w:rsidRPr="009D46DF">
        <w:rPr>
          <w:rFonts w:ascii="Cambria" w:eastAsia="Times New Roman" w:hAnsi="Cambria" w:cs="Times New Roman"/>
          <w:sz w:val="24"/>
          <w:szCs w:val="24"/>
          <w:lang w:val="en-US"/>
        </w:rPr>
        <w:t xml:space="preserve"> report on the Board’s oversight of </w:t>
      </w:r>
      <w:r w:rsidR="009D46DF" w:rsidRPr="009D46DF">
        <w:rPr>
          <w:rFonts w:ascii="Cambria" w:eastAsia="Times New Roman" w:hAnsi="Cambria" w:cs="Times New Roman"/>
          <w:sz w:val="24"/>
          <w:szCs w:val="24"/>
          <w:lang w:val="en-US"/>
        </w:rPr>
        <w:t xml:space="preserve">the TBPS </w:t>
      </w:r>
      <w:r w:rsidRPr="009D46DF">
        <w:rPr>
          <w:rFonts w:ascii="Cambria" w:hAnsi="Cambria"/>
          <w:sz w:val="24"/>
          <w:szCs w:val="24"/>
          <w:lang w:val="en-US"/>
        </w:rPr>
        <w:t>on behalf of the Ontario Civilian Police Commission (OCPC)</w:t>
      </w:r>
      <w:r w:rsidR="000A241A" w:rsidRPr="009D46DF">
        <w:rPr>
          <w:rFonts w:ascii="Cambria" w:hAnsi="Cambria"/>
          <w:sz w:val="24"/>
          <w:szCs w:val="24"/>
          <w:lang w:val="en-US"/>
        </w:rPr>
        <w:t xml:space="preserve">. </w:t>
      </w:r>
      <w:r w:rsidR="00D54F65" w:rsidRPr="009D46DF">
        <w:rPr>
          <w:rFonts w:ascii="Cambria" w:hAnsi="Cambria"/>
          <w:sz w:val="24"/>
          <w:szCs w:val="24"/>
          <w:lang w:val="en-US"/>
        </w:rPr>
        <w:t>He</w:t>
      </w:r>
      <w:r w:rsidR="000A241A" w:rsidRPr="009D46DF">
        <w:rPr>
          <w:rFonts w:ascii="Cambria" w:hAnsi="Cambria"/>
          <w:sz w:val="24"/>
          <w:szCs w:val="24"/>
          <w:lang w:val="en-US"/>
        </w:rPr>
        <w:t xml:space="preserve"> </w:t>
      </w:r>
      <w:r w:rsidR="00775BA9" w:rsidRPr="009D46DF">
        <w:rPr>
          <w:rFonts w:ascii="Cambria" w:hAnsi="Cambria"/>
          <w:sz w:val="24"/>
          <w:szCs w:val="24"/>
          <w:lang w:val="en-US"/>
        </w:rPr>
        <w:t>re-iterated</w:t>
      </w:r>
      <w:r w:rsidR="00D54F65" w:rsidRPr="009D46DF">
        <w:rPr>
          <w:rFonts w:ascii="Cambria" w:hAnsi="Cambria"/>
          <w:sz w:val="24"/>
          <w:szCs w:val="24"/>
          <w:lang w:val="en-US"/>
        </w:rPr>
        <w:t>,</w:t>
      </w:r>
      <w:r w:rsidR="00775BA9" w:rsidRPr="009D46DF">
        <w:rPr>
          <w:rFonts w:ascii="Cambria" w:hAnsi="Cambria"/>
          <w:sz w:val="24"/>
          <w:szCs w:val="24"/>
          <w:lang w:val="en-US"/>
        </w:rPr>
        <w:t xml:space="preserve"> </w:t>
      </w:r>
      <w:r w:rsidR="00D54F65" w:rsidRPr="009D46DF">
        <w:rPr>
          <w:rFonts w:ascii="Cambria" w:hAnsi="Cambria"/>
          <w:sz w:val="24"/>
          <w:szCs w:val="24"/>
          <w:lang w:val="en-US"/>
        </w:rPr>
        <w:t>“</w:t>
      </w:r>
      <w:r w:rsidR="00775BA9" w:rsidRPr="009D46DF">
        <w:rPr>
          <w:rFonts w:ascii="Cambria" w:hAnsi="Cambria"/>
          <w:sz w:val="24"/>
          <w:szCs w:val="24"/>
          <w:lang w:val="en-US"/>
        </w:rPr>
        <w:t xml:space="preserve">systemic discrimination </w:t>
      </w:r>
      <w:r w:rsidR="00D54F65" w:rsidRPr="009D46DF">
        <w:rPr>
          <w:rFonts w:ascii="Cambria" w:hAnsi="Cambria"/>
          <w:sz w:val="24"/>
          <w:szCs w:val="24"/>
          <w:lang w:val="en-US"/>
        </w:rPr>
        <w:t xml:space="preserve">exists in policing in Thunder Bay” </w:t>
      </w:r>
      <w:r w:rsidRPr="009D46DF">
        <w:rPr>
          <w:rFonts w:ascii="Cambria" w:hAnsi="Cambria"/>
          <w:sz w:val="24"/>
          <w:szCs w:val="24"/>
          <w:lang w:val="en-US"/>
        </w:rPr>
        <w:t>[</w:t>
      </w:r>
      <w:r w:rsidR="00192FC4" w:rsidRPr="009D46DF">
        <w:rPr>
          <w:rFonts w:ascii="Cambria" w:hAnsi="Cambria"/>
          <w:sz w:val="24"/>
          <w:szCs w:val="24"/>
          <w:lang w:val="en-US"/>
        </w:rPr>
        <w:t>1</w:t>
      </w:r>
      <w:r w:rsidR="00D44A01" w:rsidRPr="009D46DF">
        <w:rPr>
          <w:rFonts w:ascii="Cambria" w:hAnsi="Cambria"/>
          <w:sz w:val="24"/>
          <w:szCs w:val="24"/>
          <w:lang w:val="en-US"/>
        </w:rPr>
        <w:t>2</w:t>
      </w:r>
      <w:r w:rsidRPr="009D46DF">
        <w:rPr>
          <w:rFonts w:ascii="Cambria" w:hAnsi="Cambria"/>
          <w:sz w:val="24"/>
          <w:szCs w:val="24"/>
          <w:lang w:val="en-US"/>
        </w:rPr>
        <w:t xml:space="preserve">]. </w:t>
      </w:r>
    </w:p>
    <w:p w14:paraId="1A828BEC" w14:textId="6747F6BC" w:rsidR="003A4025" w:rsidRDefault="005942C2" w:rsidP="004563E3">
      <w:pPr>
        <w:spacing w:line="480" w:lineRule="auto"/>
        <w:rPr>
          <w:rFonts w:ascii="Cambria" w:hAnsi="Cambria"/>
        </w:rPr>
      </w:pPr>
      <w:r w:rsidRPr="003A2541">
        <w:rPr>
          <w:rFonts w:ascii="Cambria" w:hAnsi="Cambria"/>
          <w:lang w:val="en-US"/>
        </w:rPr>
        <w:t>These events affected many within the community</w:t>
      </w:r>
      <w:r w:rsidR="00D44A01">
        <w:rPr>
          <w:rFonts w:ascii="Cambria" w:hAnsi="Cambria"/>
          <w:lang w:val="en-US"/>
        </w:rPr>
        <w:t xml:space="preserve"> of Thunder Bay</w:t>
      </w:r>
      <w:r w:rsidR="001C4E9B" w:rsidRPr="003A2541">
        <w:rPr>
          <w:rFonts w:ascii="Cambria" w:hAnsi="Cambria"/>
          <w:lang w:val="en-US"/>
        </w:rPr>
        <w:t xml:space="preserve">: </w:t>
      </w:r>
      <w:r w:rsidR="00F65E11" w:rsidRPr="003A2541">
        <w:rPr>
          <w:rFonts w:ascii="Cambria" w:hAnsi="Cambria"/>
        </w:rPr>
        <w:t>they</w:t>
      </w:r>
      <w:r w:rsidR="001C4E9B" w:rsidRPr="003A2541">
        <w:rPr>
          <w:rFonts w:ascii="Cambria" w:hAnsi="Cambria"/>
        </w:rPr>
        <w:t xml:space="preserve"> may have affected survey respondents’ </w:t>
      </w:r>
      <w:r w:rsidR="00F65E11" w:rsidRPr="003A2541">
        <w:rPr>
          <w:rFonts w:ascii="Cambria" w:hAnsi="Cambria"/>
        </w:rPr>
        <w:t xml:space="preserve">answers </w:t>
      </w:r>
      <w:r w:rsidR="001C4E9B" w:rsidRPr="003A2541">
        <w:rPr>
          <w:rFonts w:ascii="Cambria" w:hAnsi="Cambria"/>
        </w:rPr>
        <w:t xml:space="preserve">differently than </w:t>
      </w:r>
      <w:r w:rsidR="00F65E11" w:rsidRPr="003A2541">
        <w:rPr>
          <w:rFonts w:ascii="Cambria" w:hAnsi="Cambria"/>
        </w:rPr>
        <w:t>those</w:t>
      </w:r>
      <w:r w:rsidR="001C4E9B" w:rsidRPr="003A2541">
        <w:rPr>
          <w:rFonts w:ascii="Cambria" w:hAnsi="Cambria"/>
        </w:rPr>
        <w:t xml:space="preserve"> </w:t>
      </w:r>
      <w:r w:rsidR="00F65E11" w:rsidRPr="003A2541">
        <w:rPr>
          <w:rFonts w:ascii="Cambria" w:hAnsi="Cambria"/>
        </w:rPr>
        <w:t>who</w:t>
      </w:r>
      <w:r w:rsidR="001C4E9B" w:rsidRPr="003A2541">
        <w:rPr>
          <w:rFonts w:ascii="Cambria" w:hAnsi="Cambria"/>
        </w:rPr>
        <w:t xml:space="preserve"> </w:t>
      </w:r>
      <w:r w:rsidR="00D44A01">
        <w:rPr>
          <w:rFonts w:ascii="Cambria" w:hAnsi="Cambria"/>
        </w:rPr>
        <w:t xml:space="preserve">took </w:t>
      </w:r>
      <w:r w:rsidR="001C4E9B" w:rsidRPr="003A2541">
        <w:rPr>
          <w:rFonts w:ascii="Cambria" w:hAnsi="Cambria"/>
        </w:rPr>
        <w:t xml:space="preserve">the survey </w:t>
      </w:r>
      <w:r w:rsidR="009507A4">
        <w:rPr>
          <w:rFonts w:ascii="Cambria" w:hAnsi="Cambria"/>
        </w:rPr>
        <w:t>earlier</w:t>
      </w:r>
      <w:r w:rsidR="001C4E9B" w:rsidRPr="003A2541">
        <w:rPr>
          <w:rFonts w:ascii="Cambria" w:hAnsi="Cambria"/>
        </w:rPr>
        <w:t>.</w:t>
      </w:r>
    </w:p>
    <w:p w14:paraId="165272F9" w14:textId="7AD482D7" w:rsidR="00E4609E" w:rsidRPr="003A2541" w:rsidRDefault="00E4609E" w:rsidP="004563E3">
      <w:pPr>
        <w:spacing w:line="480" w:lineRule="auto"/>
        <w:jc w:val="center"/>
        <w:rPr>
          <w:rFonts w:ascii="Cambria" w:hAnsi="Cambria"/>
          <w:b/>
        </w:rPr>
      </w:pPr>
      <w:r w:rsidRPr="003A2541">
        <w:rPr>
          <w:rFonts w:ascii="Cambria" w:hAnsi="Cambria"/>
          <w:b/>
        </w:rPr>
        <w:t xml:space="preserve">Key Findings </w:t>
      </w:r>
    </w:p>
    <w:p w14:paraId="1B6A625D" w14:textId="66E33D68" w:rsidR="00AA489F" w:rsidRDefault="00E4609E" w:rsidP="00AA489F">
      <w:pPr>
        <w:spacing w:line="480" w:lineRule="auto"/>
        <w:ind w:firstLine="720"/>
        <w:rPr>
          <w:rFonts w:ascii="Cambria" w:hAnsi="Cambria"/>
        </w:rPr>
      </w:pPr>
      <w:r w:rsidRPr="003A2541">
        <w:rPr>
          <w:rFonts w:ascii="Cambria" w:hAnsi="Cambria"/>
        </w:rPr>
        <w:t xml:space="preserve">Key findings </w:t>
      </w:r>
      <w:r w:rsidR="002F4BE5">
        <w:rPr>
          <w:rFonts w:ascii="Cambria" w:hAnsi="Cambria"/>
        </w:rPr>
        <w:t>compare responses from online and in-person respondents</w:t>
      </w:r>
      <w:r w:rsidRPr="003A2541">
        <w:rPr>
          <w:rFonts w:ascii="Cambria" w:hAnsi="Cambria"/>
        </w:rPr>
        <w:t xml:space="preserve"> to the CSS 2018</w:t>
      </w:r>
      <w:r w:rsidR="009A1DA9">
        <w:rPr>
          <w:rFonts w:ascii="Cambria" w:hAnsi="Cambria"/>
        </w:rPr>
        <w:t xml:space="preserve"> </w:t>
      </w:r>
      <w:r w:rsidR="001F4BF3">
        <w:rPr>
          <w:rFonts w:ascii="Cambria" w:hAnsi="Cambria"/>
        </w:rPr>
        <w:t>o</w:t>
      </w:r>
      <w:r w:rsidR="009A1DA9">
        <w:rPr>
          <w:rFonts w:ascii="Cambria" w:hAnsi="Cambria"/>
        </w:rPr>
        <w:t>n three a</w:t>
      </w:r>
      <w:r w:rsidR="001F4BF3">
        <w:rPr>
          <w:rFonts w:ascii="Cambria" w:hAnsi="Cambria"/>
        </w:rPr>
        <w:t xml:space="preserve">spects of the </w:t>
      </w:r>
      <w:r w:rsidR="0096126E">
        <w:rPr>
          <w:rFonts w:ascii="Cambria" w:hAnsi="Cambria"/>
        </w:rPr>
        <w:t>survey</w:t>
      </w:r>
      <w:r w:rsidR="009A1DA9">
        <w:rPr>
          <w:rFonts w:ascii="Cambria" w:hAnsi="Cambria"/>
        </w:rPr>
        <w:t xml:space="preserve">: </w:t>
      </w:r>
      <w:r w:rsidR="009F7B32">
        <w:rPr>
          <w:rFonts w:ascii="Cambria" w:hAnsi="Cambria"/>
        </w:rPr>
        <w:t xml:space="preserve">1. </w:t>
      </w:r>
      <w:r w:rsidR="009A1DA9">
        <w:rPr>
          <w:rFonts w:ascii="Cambria" w:hAnsi="Cambria"/>
        </w:rPr>
        <w:t xml:space="preserve">demographics, </w:t>
      </w:r>
      <w:r w:rsidR="009F7B32">
        <w:rPr>
          <w:rFonts w:ascii="Cambria" w:hAnsi="Cambria"/>
        </w:rPr>
        <w:t xml:space="preserve">2. </w:t>
      </w:r>
      <w:r w:rsidR="009A1DA9">
        <w:rPr>
          <w:rFonts w:ascii="Cambria" w:hAnsi="Cambria"/>
        </w:rPr>
        <w:t xml:space="preserve">similarities, and </w:t>
      </w:r>
      <w:r w:rsidR="009F7B32">
        <w:rPr>
          <w:rFonts w:ascii="Cambria" w:hAnsi="Cambria"/>
        </w:rPr>
        <w:t xml:space="preserve">3. </w:t>
      </w:r>
      <w:r w:rsidR="009A1DA9">
        <w:rPr>
          <w:rFonts w:ascii="Cambria" w:hAnsi="Cambria"/>
        </w:rPr>
        <w:t xml:space="preserve">differences. </w:t>
      </w:r>
    </w:p>
    <w:p w14:paraId="61F8DD10" w14:textId="244237FB" w:rsidR="003858CA" w:rsidRPr="003A2541" w:rsidRDefault="00E4609E" w:rsidP="003E4142">
      <w:pPr>
        <w:spacing w:line="480" w:lineRule="auto"/>
        <w:rPr>
          <w:rFonts w:ascii="Cambria" w:hAnsi="Cambria"/>
          <w:b/>
        </w:rPr>
      </w:pPr>
      <w:r w:rsidRPr="003A2541">
        <w:rPr>
          <w:rFonts w:ascii="Cambria" w:hAnsi="Cambria"/>
          <w:b/>
        </w:rPr>
        <w:t>Demographics</w:t>
      </w:r>
    </w:p>
    <w:p w14:paraId="5B18027A" w14:textId="378C8981" w:rsidR="00E4609E" w:rsidRPr="003A2541" w:rsidRDefault="00E4609E" w:rsidP="003E4142">
      <w:pPr>
        <w:spacing w:line="480" w:lineRule="auto"/>
        <w:rPr>
          <w:rFonts w:ascii="Cambria" w:hAnsi="Cambria"/>
        </w:rPr>
      </w:pPr>
      <w:r w:rsidRPr="003A2541">
        <w:rPr>
          <w:rFonts w:ascii="Cambria" w:hAnsi="Cambria"/>
        </w:rPr>
        <w:t xml:space="preserve">Online and in-person respondents </w:t>
      </w:r>
      <w:r w:rsidR="00AA489F">
        <w:rPr>
          <w:rFonts w:ascii="Cambria" w:hAnsi="Cambria"/>
        </w:rPr>
        <w:t>shared</w:t>
      </w:r>
      <w:r w:rsidRPr="003A2541">
        <w:rPr>
          <w:rFonts w:ascii="Cambria" w:hAnsi="Cambria"/>
        </w:rPr>
        <w:t xml:space="preserve"> demographic data on racial identity and age. </w:t>
      </w:r>
    </w:p>
    <w:p w14:paraId="7E2630C4" w14:textId="3935EE6F" w:rsidR="00164A08" w:rsidRPr="007274A0" w:rsidRDefault="00E4609E" w:rsidP="00577DD5">
      <w:pPr>
        <w:spacing w:line="480" w:lineRule="auto"/>
        <w:rPr>
          <w:rFonts w:ascii="Cambria" w:hAnsi="Cambria"/>
          <w:i/>
        </w:rPr>
      </w:pPr>
      <w:r w:rsidRPr="007274A0">
        <w:rPr>
          <w:rFonts w:ascii="Cambria" w:hAnsi="Cambria"/>
          <w:i/>
        </w:rPr>
        <w:t xml:space="preserve">Chart 1: Racial identity </w:t>
      </w:r>
    </w:p>
    <w:p w14:paraId="564B2E51" w14:textId="77777777" w:rsidR="00E4609E" w:rsidRPr="003A2541" w:rsidRDefault="00E4609E" w:rsidP="00E4609E">
      <w:pPr>
        <w:jc w:val="center"/>
        <w:rPr>
          <w:rFonts w:ascii="Cambria" w:hAnsi="Cambria"/>
        </w:rPr>
      </w:pPr>
      <w:r w:rsidRPr="003A2541">
        <w:rPr>
          <w:rFonts w:ascii="Cambria" w:hAnsi="Cambria"/>
          <w:noProof/>
        </w:rPr>
        <w:drawing>
          <wp:inline distT="0" distB="0" distL="0" distR="0" wp14:anchorId="42CC278C" wp14:editId="10FC46D4">
            <wp:extent cx="5090160" cy="1596788"/>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3-28 at 2.36.56 PM.png"/>
                    <pic:cNvPicPr/>
                  </pic:nvPicPr>
                  <pic:blipFill>
                    <a:blip r:embed="rId7">
                      <a:extLst>
                        <a:ext uri="{28A0092B-C50C-407E-A947-70E740481C1C}">
                          <a14:useLocalDpi xmlns:a14="http://schemas.microsoft.com/office/drawing/2010/main" val="0"/>
                        </a:ext>
                      </a:extLst>
                    </a:blip>
                    <a:stretch>
                      <a:fillRect/>
                    </a:stretch>
                  </pic:blipFill>
                  <pic:spPr bwMode="auto">
                    <a:xfrm>
                      <a:off x="0" y="0"/>
                      <a:ext cx="5132542" cy="1610083"/>
                    </a:xfrm>
                    <a:prstGeom prst="rect">
                      <a:avLst/>
                    </a:prstGeom>
                    <a:ln>
                      <a:noFill/>
                    </a:ln>
                    <a:extLst>
                      <a:ext uri="{53640926-AAD7-44D8-BBD7-CCE9431645EC}">
                        <a14:shadowObscured xmlns:a14="http://schemas.microsoft.com/office/drawing/2010/main"/>
                      </a:ext>
                    </a:extLst>
                  </pic:spPr>
                </pic:pic>
              </a:graphicData>
            </a:graphic>
          </wp:inline>
        </w:drawing>
      </w:r>
    </w:p>
    <w:p w14:paraId="1D3CC9E5" w14:textId="77777777" w:rsidR="00E4609E" w:rsidRPr="003A2541" w:rsidRDefault="00E4609E" w:rsidP="00E4609E">
      <w:pPr>
        <w:rPr>
          <w:rFonts w:ascii="Cambria" w:hAnsi="Cambria"/>
        </w:rPr>
      </w:pPr>
    </w:p>
    <w:p w14:paraId="401A2252" w14:textId="3AA58238" w:rsidR="00E4609E" w:rsidRPr="003A2541" w:rsidRDefault="00E4609E" w:rsidP="00E4609E">
      <w:pPr>
        <w:rPr>
          <w:rFonts w:ascii="Cambria" w:hAnsi="Cambria"/>
        </w:rPr>
      </w:pPr>
    </w:p>
    <w:p w14:paraId="0B7A5BBF" w14:textId="1280415C" w:rsidR="009E6BD3" w:rsidRPr="009E6BD3" w:rsidRDefault="00E4609E" w:rsidP="00D64082">
      <w:pPr>
        <w:spacing w:line="480" w:lineRule="auto"/>
        <w:rPr>
          <w:rFonts w:ascii="Cambria" w:hAnsi="Cambria"/>
        </w:rPr>
      </w:pPr>
      <w:r w:rsidRPr="003A2541">
        <w:rPr>
          <w:rFonts w:ascii="Cambria" w:hAnsi="Cambria"/>
        </w:rPr>
        <w:t xml:space="preserve">Online respondents (76%) identified predominantly as </w:t>
      </w:r>
      <w:r w:rsidR="00F768B5" w:rsidRPr="003A2541">
        <w:rPr>
          <w:rFonts w:ascii="Cambria" w:hAnsi="Cambria"/>
        </w:rPr>
        <w:t>W</w:t>
      </w:r>
      <w:r w:rsidRPr="003A2541">
        <w:rPr>
          <w:rFonts w:ascii="Cambria" w:hAnsi="Cambria"/>
        </w:rPr>
        <w:t>hite. In-person respondents also identified most often as White (46%)</w:t>
      </w:r>
      <w:r w:rsidR="004563E3">
        <w:rPr>
          <w:rFonts w:ascii="Cambria" w:hAnsi="Cambria"/>
        </w:rPr>
        <w:t>, by less than 30 percentage points than their online peers</w:t>
      </w:r>
      <w:r w:rsidRPr="003A2541">
        <w:rPr>
          <w:rFonts w:ascii="Cambria" w:hAnsi="Cambria"/>
        </w:rPr>
        <w:t xml:space="preserve">. This was followed closely by in-person respondents identifying as Indigenous (43%) </w:t>
      </w:r>
      <w:r w:rsidR="004563E3">
        <w:rPr>
          <w:rFonts w:ascii="Cambria" w:hAnsi="Cambria"/>
        </w:rPr>
        <w:lastRenderedPageBreak/>
        <w:t xml:space="preserve">by more than 30 percentage points than their </w:t>
      </w:r>
      <w:r w:rsidRPr="003A2541">
        <w:rPr>
          <w:rFonts w:ascii="Cambria" w:hAnsi="Cambria"/>
        </w:rPr>
        <w:t>online p</w:t>
      </w:r>
      <w:r w:rsidR="004563E3">
        <w:rPr>
          <w:rFonts w:ascii="Cambria" w:hAnsi="Cambria"/>
        </w:rPr>
        <w:t xml:space="preserve">eers </w:t>
      </w:r>
      <w:r w:rsidRPr="003A2541">
        <w:rPr>
          <w:rFonts w:ascii="Cambria" w:hAnsi="Cambria"/>
        </w:rPr>
        <w:t xml:space="preserve">(9%). </w:t>
      </w:r>
      <w:r w:rsidR="0096126E">
        <w:rPr>
          <w:rFonts w:ascii="Cambria" w:hAnsi="Cambria"/>
        </w:rPr>
        <w:t>For this report, r</w:t>
      </w:r>
      <w:r w:rsidR="00281B6A">
        <w:rPr>
          <w:rFonts w:ascii="Cambria" w:hAnsi="Cambria"/>
        </w:rPr>
        <w:t xml:space="preserve">espondents that identified as First Nations, Metis, and Inuit have been added together under the heading </w:t>
      </w:r>
      <w:r w:rsidR="0096126E">
        <w:rPr>
          <w:rFonts w:ascii="Cambria" w:hAnsi="Cambria"/>
        </w:rPr>
        <w:t>“</w:t>
      </w:r>
      <w:r w:rsidR="00281B6A">
        <w:rPr>
          <w:rFonts w:ascii="Cambria" w:hAnsi="Cambria"/>
        </w:rPr>
        <w:t>Indigenous</w:t>
      </w:r>
      <w:r w:rsidR="0096126E">
        <w:rPr>
          <w:rFonts w:ascii="Cambria" w:hAnsi="Cambria"/>
        </w:rPr>
        <w:t>”</w:t>
      </w:r>
      <w:r w:rsidR="00281B6A">
        <w:rPr>
          <w:rFonts w:ascii="Cambria" w:hAnsi="Cambria"/>
        </w:rPr>
        <w:t xml:space="preserve"> respondents. Very few respondents identified as Asian, Black, Hispanic, or Other (5% online; 9% in-person). Researchers grouped them together under the heading Other respondents. </w:t>
      </w:r>
      <w:r w:rsidR="00D64082">
        <w:rPr>
          <w:rFonts w:ascii="Cambria" w:hAnsi="Cambria"/>
        </w:rPr>
        <w:t xml:space="preserve">Notably, </w:t>
      </w:r>
      <w:r w:rsidR="007907B2">
        <w:rPr>
          <w:rFonts w:ascii="Cambria" w:hAnsi="Cambria"/>
        </w:rPr>
        <w:t xml:space="preserve">10% of online respondents skipped the question and 2% of in-person respondents gave no response or did not know. </w:t>
      </w:r>
    </w:p>
    <w:p w14:paraId="469CA121" w14:textId="614E2CCC" w:rsidR="003858CA" w:rsidRPr="003A2541" w:rsidRDefault="00E4609E" w:rsidP="004563E3">
      <w:pPr>
        <w:spacing w:line="480" w:lineRule="auto"/>
        <w:rPr>
          <w:rFonts w:ascii="Cambria" w:hAnsi="Cambria"/>
          <w:b/>
        </w:rPr>
      </w:pPr>
      <w:r w:rsidRPr="003A2541">
        <w:rPr>
          <w:rFonts w:ascii="Cambria" w:hAnsi="Cambria"/>
          <w:b/>
        </w:rPr>
        <w:t xml:space="preserve">Age </w:t>
      </w:r>
      <w:r w:rsidR="007274A0">
        <w:rPr>
          <w:rFonts w:ascii="Cambria" w:hAnsi="Cambria"/>
          <w:b/>
        </w:rPr>
        <w:t>Group</w:t>
      </w:r>
      <w:r w:rsidR="004563E3">
        <w:rPr>
          <w:rFonts w:ascii="Cambria" w:hAnsi="Cambria"/>
          <w:b/>
        </w:rPr>
        <w:t>ings</w:t>
      </w:r>
      <w:r w:rsidR="007274A0">
        <w:rPr>
          <w:rFonts w:ascii="Cambria" w:hAnsi="Cambria"/>
          <w:b/>
        </w:rPr>
        <w:t xml:space="preserve"> </w:t>
      </w:r>
    </w:p>
    <w:p w14:paraId="25DBA125" w14:textId="690A2217" w:rsidR="003858CA" w:rsidRPr="003A2541" w:rsidRDefault="003858CA" w:rsidP="004563E3">
      <w:pPr>
        <w:spacing w:line="480" w:lineRule="auto"/>
        <w:ind w:firstLine="720"/>
        <w:rPr>
          <w:rFonts w:ascii="Cambria" w:hAnsi="Cambria"/>
        </w:rPr>
      </w:pPr>
      <w:r w:rsidRPr="003A2541">
        <w:rPr>
          <w:rFonts w:ascii="Cambria" w:hAnsi="Cambria"/>
        </w:rPr>
        <w:t xml:space="preserve">Respondents chose from seven age ranges (see Figure 1 below). The researchers removed data from respondents that identified as &lt;18 years, a requirement of the </w:t>
      </w:r>
      <w:r w:rsidR="0096126E">
        <w:rPr>
          <w:rFonts w:ascii="Cambria" w:hAnsi="Cambria"/>
        </w:rPr>
        <w:t>REB approval</w:t>
      </w:r>
      <w:r w:rsidRPr="003A2541">
        <w:rPr>
          <w:rFonts w:ascii="Cambria" w:hAnsi="Cambria"/>
        </w:rPr>
        <w:t xml:space="preserve">. </w:t>
      </w:r>
      <w:r w:rsidR="003A2541">
        <w:rPr>
          <w:rFonts w:ascii="Cambria" w:hAnsi="Cambria"/>
        </w:rPr>
        <w:t xml:space="preserve">The figure and chart below show the age groupings and </w:t>
      </w:r>
      <w:r w:rsidR="00577DD5">
        <w:rPr>
          <w:rFonts w:ascii="Cambria" w:hAnsi="Cambria"/>
        </w:rPr>
        <w:t>trends respectively.</w:t>
      </w:r>
    </w:p>
    <w:p w14:paraId="35BB0D42" w14:textId="0990879A" w:rsidR="003858CA" w:rsidRPr="007274A0" w:rsidRDefault="003858CA" w:rsidP="003A2541">
      <w:pPr>
        <w:spacing w:line="480" w:lineRule="auto"/>
        <w:rPr>
          <w:rFonts w:ascii="Cambria" w:hAnsi="Cambria"/>
          <w:i/>
        </w:rPr>
      </w:pPr>
      <w:r w:rsidRPr="007274A0">
        <w:rPr>
          <w:rFonts w:ascii="Cambria" w:hAnsi="Cambria"/>
          <w:i/>
        </w:rPr>
        <w:t xml:space="preserve">Figure </w:t>
      </w:r>
      <w:r w:rsidR="003A2541" w:rsidRPr="007274A0">
        <w:rPr>
          <w:rFonts w:ascii="Cambria" w:hAnsi="Cambria"/>
          <w:i/>
        </w:rPr>
        <w:t>1</w:t>
      </w:r>
      <w:r w:rsidRPr="007274A0">
        <w:rPr>
          <w:rFonts w:ascii="Cambria" w:hAnsi="Cambria"/>
          <w:i/>
        </w:rPr>
        <w:t xml:space="preserve">: </w:t>
      </w:r>
      <w:r w:rsidR="007274A0" w:rsidRPr="007274A0">
        <w:rPr>
          <w:rFonts w:ascii="Cambria" w:hAnsi="Cambria"/>
          <w:i/>
        </w:rPr>
        <w:t>Age groupings</w:t>
      </w:r>
      <w:r w:rsidR="004563E3">
        <w:rPr>
          <w:rFonts w:ascii="Cambria" w:hAnsi="Cambria"/>
          <w:i/>
        </w:rPr>
        <w:t>*</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9"/>
        <w:gridCol w:w="2410"/>
        <w:gridCol w:w="3402"/>
      </w:tblGrid>
      <w:tr w:rsidR="003858CA" w:rsidRPr="003A2541" w14:paraId="5D46E9E7" w14:textId="77777777" w:rsidTr="00F120B9">
        <w:trPr>
          <w:jc w:val="center"/>
        </w:trPr>
        <w:tc>
          <w:tcPr>
            <w:tcW w:w="3119" w:type="dxa"/>
            <w:shd w:val="clear" w:color="auto" w:fill="E7E6E6" w:themeFill="background2"/>
          </w:tcPr>
          <w:p w14:paraId="63F86C8C" w14:textId="77777777" w:rsidR="003858CA" w:rsidRPr="003A2541" w:rsidRDefault="003858CA" w:rsidP="003A2541">
            <w:pPr>
              <w:spacing w:line="480" w:lineRule="auto"/>
              <w:rPr>
                <w:rFonts w:ascii="Cambria" w:hAnsi="Cambria" w:cstheme="minorHAnsi"/>
                <w:color w:val="3B3838" w:themeColor="background2" w:themeShade="40"/>
                <w:lang w:val="en-CA"/>
              </w:rPr>
            </w:pPr>
            <w:r w:rsidRPr="003A2541">
              <w:rPr>
                <w:rFonts w:ascii="Cambria" w:hAnsi="Cambria" w:cstheme="minorHAnsi"/>
                <w:color w:val="3B3838" w:themeColor="background2" w:themeShade="40"/>
                <w:lang w:val="en-CA"/>
              </w:rPr>
              <w:t>ANSWER CHOICES</w:t>
            </w:r>
          </w:p>
        </w:tc>
        <w:tc>
          <w:tcPr>
            <w:tcW w:w="2410" w:type="dxa"/>
            <w:shd w:val="clear" w:color="auto" w:fill="E7E6E6" w:themeFill="background2"/>
          </w:tcPr>
          <w:p w14:paraId="4C693351" w14:textId="77777777" w:rsidR="003858CA" w:rsidRPr="003A2541" w:rsidRDefault="003858CA" w:rsidP="003A2541">
            <w:pPr>
              <w:spacing w:line="480" w:lineRule="auto"/>
              <w:jc w:val="center"/>
              <w:rPr>
                <w:rFonts w:ascii="Cambria" w:hAnsi="Cambria" w:cstheme="minorHAnsi"/>
                <w:color w:val="3B3838" w:themeColor="background2" w:themeShade="40"/>
                <w:lang w:val="en-CA"/>
              </w:rPr>
            </w:pPr>
            <w:r w:rsidRPr="003A2541">
              <w:rPr>
                <w:rFonts w:ascii="Cambria" w:hAnsi="Cambria" w:cstheme="minorHAnsi"/>
                <w:color w:val="3B3838" w:themeColor="background2" w:themeShade="40"/>
                <w:lang w:val="en-CA"/>
              </w:rPr>
              <w:t>ONLINE RESPONSE</w:t>
            </w:r>
          </w:p>
        </w:tc>
        <w:tc>
          <w:tcPr>
            <w:tcW w:w="3402" w:type="dxa"/>
            <w:shd w:val="clear" w:color="auto" w:fill="E7E6E6" w:themeFill="background2"/>
          </w:tcPr>
          <w:p w14:paraId="7AE278F3" w14:textId="77777777" w:rsidR="003858CA" w:rsidRPr="003A2541" w:rsidRDefault="003858CA" w:rsidP="003A2541">
            <w:pPr>
              <w:spacing w:line="480" w:lineRule="auto"/>
              <w:jc w:val="center"/>
              <w:rPr>
                <w:rFonts w:ascii="Cambria" w:hAnsi="Cambria" w:cstheme="minorHAnsi"/>
                <w:color w:val="3B3838" w:themeColor="background2" w:themeShade="40"/>
                <w:lang w:val="en-CA"/>
              </w:rPr>
            </w:pPr>
            <w:r w:rsidRPr="003A2541">
              <w:rPr>
                <w:rFonts w:ascii="Cambria" w:hAnsi="Cambria" w:cstheme="minorHAnsi"/>
                <w:color w:val="3B3838" w:themeColor="background2" w:themeShade="40"/>
                <w:lang w:val="en-CA"/>
              </w:rPr>
              <w:t>IN-PERSON RESPONSE</w:t>
            </w:r>
          </w:p>
        </w:tc>
      </w:tr>
      <w:tr w:rsidR="003858CA" w:rsidRPr="003A2541" w14:paraId="7365315C" w14:textId="77777777" w:rsidTr="004563E3">
        <w:trPr>
          <w:jc w:val="center"/>
        </w:trPr>
        <w:tc>
          <w:tcPr>
            <w:tcW w:w="3119" w:type="dxa"/>
            <w:tcBorders>
              <w:bottom w:val="single" w:sz="4" w:space="0" w:color="auto"/>
            </w:tcBorders>
          </w:tcPr>
          <w:p w14:paraId="048824DA" w14:textId="77777777" w:rsidR="003858CA" w:rsidRPr="004563E3" w:rsidRDefault="003858CA" w:rsidP="004563E3">
            <w:pPr>
              <w:rPr>
                <w:rFonts w:ascii="Cambria" w:hAnsi="Cambria" w:cstheme="minorHAnsi"/>
                <w:color w:val="3B3838" w:themeColor="background2" w:themeShade="40"/>
                <w:lang w:val="en-CA"/>
              </w:rPr>
            </w:pPr>
            <w:r w:rsidRPr="004563E3">
              <w:rPr>
                <w:rFonts w:ascii="Cambria" w:hAnsi="Cambria" w:cstheme="minorHAnsi"/>
                <w:color w:val="3B3838" w:themeColor="background2" w:themeShade="40"/>
                <w:lang w:val="en-CA"/>
              </w:rPr>
              <w:t>18 – 24 years</w:t>
            </w:r>
          </w:p>
        </w:tc>
        <w:tc>
          <w:tcPr>
            <w:tcW w:w="2410" w:type="dxa"/>
            <w:tcBorders>
              <w:bottom w:val="single" w:sz="4" w:space="0" w:color="auto"/>
            </w:tcBorders>
          </w:tcPr>
          <w:p w14:paraId="75FA822E" w14:textId="77777777" w:rsidR="003858CA" w:rsidRPr="004563E3" w:rsidRDefault="003858CA" w:rsidP="004563E3">
            <w:pPr>
              <w:jc w:val="center"/>
              <w:rPr>
                <w:rFonts w:ascii="Cambria" w:hAnsi="Cambria" w:cstheme="minorHAnsi"/>
                <w:color w:val="3B3838" w:themeColor="background2" w:themeShade="40"/>
                <w:lang w:val="en-CA"/>
              </w:rPr>
            </w:pPr>
            <w:r w:rsidRPr="004563E3">
              <w:rPr>
                <w:rFonts w:ascii="Cambria" w:hAnsi="Cambria" w:cstheme="minorHAnsi"/>
                <w:color w:val="3B3838" w:themeColor="background2" w:themeShade="40"/>
                <w:lang w:val="en-CA"/>
              </w:rPr>
              <w:t>2.75%</w:t>
            </w:r>
          </w:p>
        </w:tc>
        <w:tc>
          <w:tcPr>
            <w:tcW w:w="3402" w:type="dxa"/>
            <w:tcBorders>
              <w:bottom w:val="single" w:sz="4" w:space="0" w:color="auto"/>
            </w:tcBorders>
          </w:tcPr>
          <w:p w14:paraId="26610763" w14:textId="77777777" w:rsidR="003858CA" w:rsidRPr="004563E3" w:rsidRDefault="003858CA" w:rsidP="004563E3">
            <w:pPr>
              <w:jc w:val="center"/>
              <w:rPr>
                <w:rFonts w:ascii="Cambria" w:hAnsi="Cambria" w:cstheme="minorHAnsi"/>
                <w:b/>
                <w:color w:val="3B3838" w:themeColor="background2" w:themeShade="40"/>
                <w:lang w:val="en-CA"/>
              </w:rPr>
            </w:pPr>
            <w:r w:rsidRPr="004563E3">
              <w:rPr>
                <w:rFonts w:ascii="Cambria" w:hAnsi="Cambria" w:cstheme="minorHAnsi"/>
                <w:b/>
                <w:color w:val="3B3838" w:themeColor="background2" w:themeShade="40"/>
                <w:lang w:val="en-CA"/>
              </w:rPr>
              <w:t>22.64%</w:t>
            </w:r>
          </w:p>
        </w:tc>
      </w:tr>
      <w:tr w:rsidR="003858CA" w:rsidRPr="003A2541" w14:paraId="5E383262" w14:textId="77777777" w:rsidTr="004563E3">
        <w:trPr>
          <w:jc w:val="center"/>
        </w:trPr>
        <w:tc>
          <w:tcPr>
            <w:tcW w:w="3119" w:type="dxa"/>
            <w:tcBorders>
              <w:top w:val="single" w:sz="4" w:space="0" w:color="auto"/>
              <w:bottom w:val="single" w:sz="4" w:space="0" w:color="auto"/>
            </w:tcBorders>
            <w:shd w:val="pct5" w:color="auto" w:fill="auto"/>
          </w:tcPr>
          <w:p w14:paraId="0C2392CE" w14:textId="77777777" w:rsidR="003858CA" w:rsidRPr="004563E3" w:rsidRDefault="003858CA" w:rsidP="004563E3">
            <w:pPr>
              <w:rPr>
                <w:rFonts w:ascii="Cambria" w:hAnsi="Cambria" w:cstheme="minorHAnsi"/>
                <w:color w:val="3B3838" w:themeColor="background2" w:themeShade="40"/>
                <w:lang w:val="en-CA"/>
              </w:rPr>
            </w:pPr>
            <w:r w:rsidRPr="004563E3">
              <w:rPr>
                <w:rFonts w:ascii="Cambria" w:hAnsi="Cambria" w:cstheme="minorHAnsi"/>
                <w:color w:val="3B3838" w:themeColor="background2" w:themeShade="40"/>
                <w:lang w:val="en-CA"/>
              </w:rPr>
              <w:t>25 – 34 years</w:t>
            </w:r>
          </w:p>
        </w:tc>
        <w:tc>
          <w:tcPr>
            <w:tcW w:w="2410" w:type="dxa"/>
            <w:tcBorders>
              <w:top w:val="single" w:sz="4" w:space="0" w:color="auto"/>
              <w:bottom w:val="single" w:sz="4" w:space="0" w:color="auto"/>
            </w:tcBorders>
            <w:shd w:val="pct5" w:color="auto" w:fill="auto"/>
          </w:tcPr>
          <w:p w14:paraId="4BC3B064" w14:textId="77777777" w:rsidR="003858CA" w:rsidRPr="004563E3" w:rsidRDefault="003858CA" w:rsidP="004563E3">
            <w:pPr>
              <w:jc w:val="center"/>
              <w:rPr>
                <w:rFonts w:ascii="Cambria" w:hAnsi="Cambria" w:cstheme="minorHAnsi"/>
                <w:color w:val="3B3838" w:themeColor="background2" w:themeShade="40"/>
                <w:lang w:val="en-CA"/>
              </w:rPr>
            </w:pPr>
            <w:r w:rsidRPr="004563E3">
              <w:rPr>
                <w:rFonts w:ascii="Cambria" w:hAnsi="Cambria" w:cstheme="minorHAnsi"/>
                <w:color w:val="3B3838" w:themeColor="background2" w:themeShade="40"/>
                <w:lang w:val="en-CA"/>
              </w:rPr>
              <w:t>12.02%</w:t>
            </w:r>
          </w:p>
        </w:tc>
        <w:tc>
          <w:tcPr>
            <w:tcW w:w="3402" w:type="dxa"/>
            <w:tcBorders>
              <w:top w:val="single" w:sz="4" w:space="0" w:color="auto"/>
              <w:bottom w:val="single" w:sz="4" w:space="0" w:color="auto"/>
            </w:tcBorders>
            <w:shd w:val="pct5" w:color="auto" w:fill="auto"/>
          </w:tcPr>
          <w:p w14:paraId="2D52D814" w14:textId="77777777" w:rsidR="003858CA" w:rsidRPr="009A1DA9" w:rsidRDefault="003858CA" w:rsidP="004563E3">
            <w:pPr>
              <w:jc w:val="center"/>
              <w:rPr>
                <w:rFonts w:ascii="Cambria" w:hAnsi="Cambria" w:cstheme="minorHAnsi"/>
                <w:color w:val="3B3838" w:themeColor="background2" w:themeShade="40"/>
                <w:lang w:val="en-CA"/>
              </w:rPr>
            </w:pPr>
            <w:r w:rsidRPr="009A1DA9">
              <w:rPr>
                <w:rFonts w:ascii="Cambria" w:hAnsi="Cambria" w:cstheme="minorHAnsi"/>
                <w:color w:val="3B3838" w:themeColor="background2" w:themeShade="40"/>
                <w:lang w:val="en-CA"/>
              </w:rPr>
              <w:t>21.23%</w:t>
            </w:r>
          </w:p>
        </w:tc>
      </w:tr>
      <w:tr w:rsidR="003858CA" w:rsidRPr="003A2541" w14:paraId="50377574" w14:textId="77777777" w:rsidTr="004563E3">
        <w:trPr>
          <w:jc w:val="center"/>
        </w:trPr>
        <w:tc>
          <w:tcPr>
            <w:tcW w:w="3119" w:type="dxa"/>
            <w:tcBorders>
              <w:top w:val="single" w:sz="4" w:space="0" w:color="auto"/>
              <w:bottom w:val="single" w:sz="4" w:space="0" w:color="auto"/>
            </w:tcBorders>
          </w:tcPr>
          <w:p w14:paraId="2CF1BF81" w14:textId="77777777" w:rsidR="003858CA" w:rsidRPr="004563E3" w:rsidRDefault="003858CA" w:rsidP="004563E3">
            <w:pPr>
              <w:rPr>
                <w:rFonts w:ascii="Cambria" w:hAnsi="Cambria" w:cstheme="minorHAnsi"/>
                <w:color w:val="3B3838" w:themeColor="background2" w:themeShade="40"/>
                <w:lang w:val="en-CA"/>
              </w:rPr>
            </w:pPr>
            <w:r w:rsidRPr="004563E3">
              <w:rPr>
                <w:rFonts w:ascii="Cambria" w:hAnsi="Cambria" w:cstheme="minorHAnsi"/>
                <w:color w:val="3B3838" w:themeColor="background2" w:themeShade="40"/>
                <w:lang w:val="en-CA"/>
              </w:rPr>
              <w:t>35 – 44 years</w:t>
            </w:r>
          </w:p>
        </w:tc>
        <w:tc>
          <w:tcPr>
            <w:tcW w:w="2410" w:type="dxa"/>
            <w:tcBorders>
              <w:top w:val="single" w:sz="4" w:space="0" w:color="auto"/>
              <w:bottom w:val="single" w:sz="4" w:space="0" w:color="auto"/>
            </w:tcBorders>
          </w:tcPr>
          <w:p w14:paraId="514C92E7" w14:textId="77777777" w:rsidR="003858CA" w:rsidRPr="004563E3" w:rsidRDefault="003858CA" w:rsidP="004563E3">
            <w:pPr>
              <w:jc w:val="center"/>
              <w:rPr>
                <w:rFonts w:ascii="Cambria" w:hAnsi="Cambria" w:cstheme="minorHAnsi"/>
                <w:color w:val="3B3838" w:themeColor="background2" w:themeShade="40"/>
                <w:lang w:val="en-CA"/>
              </w:rPr>
            </w:pPr>
            <w:r w:rsidRPr="004563E3">
              <w:rPr>
                <w:rFonts w:ascii="Cambria" w:hAnsi="Cambria" w:cstheme="minorHAnsi"/>
                <w:color w:val="3B3838" w:themeColor="background2" w:themeShade="40"/>
                <w:lang w:val="en-CA"/>
              </w:rPr>
              <w:t>15.06%</w:t>
            </w:r>
          </w:p>
        </w:tc>
        <w:tc>
          <w:tcPr>
            <w:tcW w:w="3402" w:type="dxa"/>
            <w:tcBorders>
              <w:top w:val="single" w:sz="4" w:space="0" w:color="auto"/>
              <w:bottom w:val="single" w:sz="4" w:space="0" w:color="auto"/>
            </w:tcBorders>
          </w:tcPr>
          <w:p w14:paraId="01AC75FF" w14:textId="77777777" w:rsidR="003858CA" w:rsidRPr="004563E3" w:rsidRDefault="003858CA" w:rsidP="004563E3">
            <w:pPr>
              <w:jc w:val="center"/>
              <w:rPr>
                <w:rFonts w:ascii="Cambria" w:hAnsi="Cambria" w:cstheme="minorHAnsi"/>
                <w:color w:val="3B3838" w:themeColor="background2" w:themeShade="40"/>
                <w:lang w:val="en-CA"/>
              </w:rPr>
            </w:pPr>
            <w:r w:rsidRPr="004563E3">
              <w:rPr>
                <w:rFonts w:ascii="Cambria" w:hAnsi="Cambria" w:cstheme="minorHAnsi"/>
                <w:color w:val="3B3838" w:themeColor="background2" w:themeShade="40"/>
                <w:lang w:val="en-CA"/>
              </w:rPr>
              <w:t>17.92%</w:t>
            </w:r>
          </w:p>
        </w:tc>
      </w:tr>
      <w:tr w:rsidR="003858CA" w:rsidRPr="003A2541" w14:paraId="64F64178" w14:textId="77777777" w:rsidTr="004563E3">
        <w:trPr>
          <w:jc w:val="center"/>
        </w:trPr>
        <w:tc>
          <w:tcPr>
            <w:tcW w:w="3119" w:type="dxa"/>
            <w:tcBorders>
              <w:top w:val="single" w:sz="4" w:space="0" w:color="auto"/>
              <w:bottom w:val="single" w:sz="4" w:space="0" w:color="auto"/>
            </w:tcBorders>
            <w:shd w:val="pct5" w:color="auto" w:fill="auto"/>
          </w:tcPr>
          <w:p w14:paraId="7AA1B75C" w14:textId="77777777" w:rsidR="003858CA" w:rsidRPr="004563E3" w:rsidRDefault="003858CA" w:rsidP="004563E3">
            <w:pPr>
              <w:rPr>
                <w:rFonts w:ascii="Cambria" w:hAnsi="Cambria" w:cstheme="minorHAnsi"/>
                <w:color w:val="3B3838" w:themeColor="background2" w:themeShade="40"/>
                <w:lang w:val="en-CA"/>
              </w:rPr>
            </w:pPr>
            <w:r w:rsidRPr="004563E3">
              <w:rPr>
                <w:rFonts w:ascii="Cambria" w:hAnsi="Cambria" w:cstheme="minorHAnsi"/>
                <w:color w:val="3B3838" w:themeColor="background2" w:themeShade="40"/>
                <w:lang w:val="en-CA"/>
              </w:rPr>
              <w:t>45 – 54 years</w:t>
            </w:r>
          </w:p>
        </w:tc>
        <w:tc>
          <w:tcPr>
            <w:tcW w:w="2410" w:type="dxa"/>
            <w:tcBorders>
              <w:top w:val="single" w:sz="4" w:space="0" w:color="auto"/>
              <w:bottom w:val="single" w:sz="4" w:space="0" w:color="auto"/>
            </w:tcBorders>
            <w:shd w:val="pct5" w:color="auto" w:fill="auto"/>
          </w:tcPr>
          <w:p w14:paraId="29043B8F" w14:textId="77777777" w:rsidR="003858CA" w:rsidRPr="009A1DA9" w:rsidRDefault="003858CA" w:rsidP="004563E3">
            <w:pPr>
              <w:jc w:val="center"/>
              <w:rPr>
                <w:rFonts w:ascii="Cambria" w:hAnsi="Cambria" w:cstheme="minorHAnsi"/>
                <w:color w:val="3B3838" w:themeColor="background2" w:themeShade="40"/>
                <w:lang w:val="en-CA"/>
              </w:rPr>
            </w:pPr>
            <w:r w:rsidRPr="009A1DA9">
              <w:rPr>
                <w:rFonts w:ascii="Cambria" w:hAnsi="Cambria" w:cstheme="minorHAnsi"/>
                <w:color w:val="3B3838" w:themeColor="background2" w:themeShade="40"/>
                <w:lang w:val="en-CA"/>
              </w:rPr>
              <w:t>17.76%</w:t>
            </w:r>
          </w:p>
        </w:tc>
        <w:tc>
          <w:tcPr>
            <w:tcW w:w="3402" w:type="dxa"/>
            <w:tcBorders>
              <w:top w:val="single" w:sz="4" w:space="0" w:color="auto"/>
              <w:bottom w:val="single" w:sz="4" w:space="0" w:color="auto"/>
            </w:tcBorders>
            <w:shd w:val="pct5" w:color="auto" w:fill="auto"/>
          </w:tcPr>
          <w:p w14:paraId="226DAF99" w14:textId="77777777" w:rsidR="003858CA" w:rsidRPr="004563E3" w:rsidRDefault="003858CA" w:rsidP="004563E3">
            <w:pPr>
              <w:jc w:val="center"/>
              <w:rPr>
                <w:rFonts w:ascii="Cambria" w:hAnsi="Cambria" w:cstheme="minorHAnsi"/>
                <w:color w:val="3B3838" w:themeColor="background2" w:themeShade="40"/>
                <w:lang w:val="en-CA"/>
              </w:rPr>
            </w:pPr>
            <w:r w:rsidRPr="004563E3">
              <w:rPr>
                <w:rFonts w:ascii="Cambria" w:hAnsi="Cambria" w:cstheme="minorHAnsi"/>
                <w:color w:val="3B3838" w:themeColor="background2" w:themeShade="40"/>
                <w:lang w:val="en-CA"/>
              </w:rPr>
              <w:t>17.45%</w:t>
            </w:r>
          </w:p>
        </w:tc>
      </w:tr>
      <w:tr w:rsidR="003858CA" w:rsidRPr="003A2541" w14:paraId="301D6EFF" w14:textId="77777777" w:rsidTr="004563E3">
        <w:trPr>
          <w:jc w:val="center"/>
        </w:trPr>
        <w:tc>
          <w:tcPr>
            <w:tcW w:w="3119" w:type="dxa"/>
            <w:tcBorders>
              <w:top w:val="single" w:sz="4" w:space="0" w:color="auto"/>
              <w:bottom w:val="single" w:sz="4" w:space="0" w:color="auto"/>
            </w:tcBorders>
          </w:tcPr>
          <w:p w14:paraId="563A7DF8" w14:textId="77777777" w:rsidR="003858CA" w:rsidRPr="004563E3" w:rsidRDefault="003858CA" w:rsidP="004563E3">
            <w:pPr>
              <w:rPr>
                <w:rFonts w:ascii="Cambria" w:hAnsi="Cambria" w:cstheme="minorHAnsi"/>
                <w:color w:val="3B3838" w:themeColor="background2" w:themeShade="40"/>
                <w:lang w:val="en-CA"/>
              </w:rPr>
            </w:pPr>
            <w:r w:rsidRPr="004563E3">
              <w:rPr>
                <w:rFonts w:ascii="Cambria" w:hAnsi="Cambria" w:cstheme="minorHAnsi"/>
                <w:color w:val="3B3838" w:themeColor="background2" w:themeShade="40"/>
                <w:lang w:val="en-CA"/>
              </w:rPr>
              <w:t>55 – 64 years</w:t>
            </w:r>
          </w:p>
        </w:tc>
        <w:tc>
          <w:tcPr>
            <w:tcW w:w="2410" w:type="dxa"/>
            <w:tcBorders>
              <w:top w:val="single" w:sz="4" w:space="0" w:color="auto"/>
              <w:bottom w:val="single" w:sz="4" w:space="0" w:color="auto"/>
            </w:tcBorders>
          </w:tcPr>
          <w:p w14:paraId="1CFF8A15" w14:textId="77777777" w:rsidR="003858CA" w:rsidRPr="004563E3" w:rsidRDefault="003858CA" w:rsidP="004563E3">
            <w:pPr>
              <w:jc w:val="center"/>
              <w:rPr>
                <w:rFonts w:ascii="Cambria" w:hAnsi="Cambria" w:cstheme="minorHAnsi"/>
                <w:b/>
                <w:color w:val="3B3838" w:themeColor="background2" w:themeShade="40"/>
                <w:lang w:val="en-CA"/>
              </w:rPr>
            </w:pPr>
            <w:r w:rsidRPr="004563E3">
              <w:rPr>
                <w:rFonts w:ascii="Cambria" w:hAnsi="Cambria" w:cstheme="minorHAnsi"/>
                <w:b/>
                <w:color w:val="3B3838" w:themeColor="background2" w:themeShade="40"/>
                <w:lang w:val="en-CA"/>
              </w:rPr>
              <w:t>23.90%</w:t>
            </w:r>
          </w:p>
        </w:tc>
        <w:tc>
          <w:tcPr>
            <w:tcW w:w="3402" w:type="dxa"/>
            <w:tcBorders>
              <w:top w:val="single" w:sz="4" w:space="0" w:color="auto"/>
              <w:bottom w:val="single" w:sz="4" w:space="0" w:color="auto"/>
            </w:tcBorders>
          </w:tcPr>
          <w:p w14:paraId="12610C31" w14:textId="77777777" w:rsidR="003858CA" w:rsidRPr="004563E3" w:rsidRDefault="003858CA" w:rsidP="004563E3">
            <w:pPr>
              <w:jc w:val="center"/>
              <w:rPr>
                <w:rFonts w:ascii="Cambria" w:hAnsi="Cambria" w:cstheme="minorHAnsi"/>
                <w:color w:val="3B3838" w:themeColor="background2" w:themeShade="40"/>
                <w:lang w:val="en-CA"/>
              </w:rPr>
            </w:pPr>
            <w:r w:rsidRPr="004563E3">
              <w:rPr>
                <w:rFonts w:ascii="Cambria" w:hAnsi="Cambria" w:cstheme="minorHAnsi"/>
                <w:color w:val="3B3838" w:themeColor="background2" w:themeShade="40"/>
                <w:lang w:val="en-CA"/>
              </w:rPr>
              <w:t>10.85%</w:t>
            </w:r>
          </w:p>
        </w:tc>
      </w:tr>
      <w:tr w:rsidR="003858CA" w:rsidRPr="003A2541" w14:paraId="1BF9D7AC" w14:textId="77777777" w:rsidTr="004563E3">
        <w:trPr>
          <w:jc w:val="center"/>
        </w:trPr>
        <w:tc>
          <w:tcPr>
            <w:tcW w:w="3119" w:type="dxa"/>
            <w:tcBorders>
              <w:top w:val="single" w:sz="4" w:space="0" w:color="auto"/>
              <w:bottom w:val="single" w:sz="4" w:space="0" w:color="auto"/>
            </w:tcBorders>
            <w:shd w:val="pct5" w:color="auto" w:fill="auto"/>
          </w:tcPr>
          <w:p w14:paraId="7437F324" w14:textId="77777777" w:rsidR="003858CA" w:rsidRPr="004563E3" w:rsidRDefault="003858CA" w:rsidP="004563E3">
            <w:pPr>
              <w:rPr>
                <w:rFonts w:ascii="Cambria" w:hAnsi="Cambria" w:cstheme="minorHAnsi"/>
                <w:color w:val="3B3838" w:themeColor="background2" w:themeShade="40"/>
                <w:lang w:val="en-CA"/>
              </w:rPr>
            </w:pPr>
            <w:r w:rsidRPr="004563E3">
              <w:rPr>
                <w:rFonts w:ascii="Cambria" w:hAnsi="Cambria" w:cstheme="minorHAnsi"/>
                <w:color w:val="3B3838" w:themeColor="background2" w:themeShade="40"/>
                <w:lang w:val="en-CA"/>
              </w:rPr>
              <w:t>65 – 74 years</w:t>
            </w:r>
          </w:p>
        </w:tc>
        <w:tc>
          <w:tcPr>
            <w:tcW w:w="2410" w:type="dxa"/>
            <w:tcBorders>
              <w:top w:val="single" w:sz="4" w:space="0" w:color="auto"/>
              <w:bottom w:val="single" w:sz="4" w:space="0" w:color="auto"/>
            </w:tcBorders>
            <w:shd w:val="pct5" w:color="auto" w:fill="auto"/>
          </w:tcPr>
          <w:p w14:paraId="2177A95C" w14:textId="77777777" w:rsidR="003858CA" w:rsidRPr="004563E3" w:rsidRDefault="003858CA" w:rsidP="004563E3">
            <w:pPr>
              <w:jc w:val="center"/>
              <w:rPr>
                <w:rFonts w:ascii="Cambria" w:hAnsi="Cambria" w:cstheme="minorHAnsi"/>
                <w:color w:val="3B3838" w:themeColor="background2" w:themeShade="40"/>
                <w:lang w:val="en-CA"/>
              </w:rPr>
            </w:pPr>
            <w:r w:rsidRPr="004563E3">
              <w:rPr>
                <w:rFonts w:ascii="Cambria" w:hAnsi="Cambria" w:cstheme="minorHAnsi"/>
                <w:color w:val="3B3838" w:themeColor="background2" w:themeShade="40"/>
                <w:lang w:val="en-CA"/>
              </w:rPr>
              <w:t>14.72%</w:t>
            </w:r>
          </w:p>
        </w:tc>
        <w:tc>
          <w:tcPr>
            <w:tcW w:w="3402" w:type="dxa"/>
            <w:tcBorders>
              <w:top w:val="single" w:sz="4" w:space="0" w:color="auto"/>
              <w:bottom w:val="single" w:sz="4" w:space="0" w:color="auto"/>
            </w:tcBorders>
            <w:shd w:val="pct5" w:color="auto" w:fill="auto"/>
          </w:tcPr>
          <w:p w14:paraId="06A8FCE0" w14:textId="77777777" w:rsidR="003858CA" w:rsidRPr="004563E3" w:rsidRDefault="003858CA" w:rsidP="004563E3">
            <w:pPr>
              <w:jc w:val="center"/>
              <w:rPr>
                <w:rFonts w:ascii="Cambria" w:hAnsi="Cambria" w:cstheme="minorHAnsi"/>
                <w:color w:val="3B3838" w:themeColor="background2" w:themeShade="40"/>
                <w:lang w:val="en-CA"/>
              </w:rPr>
            </w:pPr>
            <w:r w:rsidRPr="004563E3">
              <w:rPr>
                <w:rFonts w:ascii="Cambria" w:hAnsi="Cambria" w:cstheme="minorHAnsi"/>
                <w:color w:val="3B3838" w:themeColor="background2" w:themeShade="40"/>
                <w:lang w:val="en-CA"/>
              </w:rPr>
              <w:t>4.72%</w:t>
            </w:r>
          </w:p>
        </w:tc>
      </w:tr>
      <w:tr w:rsidR="003858CA" w:rsidRPr="003A2541" w14:paraId="4DBC1541" w14:textId="77777777" w:rsidTr="004563E3">
        <w:trPr>
          <w:jc w:val="center"/>
        </w:trPr>
        <w:tc>
          <w:tcPr>
            <w:tcW w:w="3119" w:type="dxa"/>
            <w:tcBorders>
              <w:top w:val="single" w:sz="4" w:space="0" w:color="auto"/>
              <w:bottom w:val="single" w:sz="4" w:space="0" w:color="auto"/>
            </w:tcBorders>
          </w:tcPr>
          <w:p w14:paraId="5AD3A119" w14:textId="77777777" w:rsidR="003858CA" w:rsidRPr="004563E3" w:rsidRDefault="003858CA" w:rsidP="004563E3">
            <w:pPr>
              <w:rPr>
                <w:rFonts w:ascii="Cambria" w:hAnsi="Cambria" w:cstheme="minorHAnsi"/>
                <w:color w:val="3B3838" w:themeColor="background2" w:themeShade="40"/>
                <w:lang w:val="en-CA"/>
              </w:rPr>
            </w:pPr>
            <w:r w:rsidRPr="004563E3">
              <w:rPr>
                <w:rFonts w:ascii="Cambria" w:hAnsi="Cambria" w:cstheme="minorHAnsi"/>
                <w:color w:val="3B3838" w:themeColor="background2" w:themeShade="40"/>
                <w:lang w:val="en-CA"/>
              </w:rPr>
              <w:t>75+ years</w:t>
            </w:r>
          </w:p>
        </w:tc>
        <w:tc>
          <w:tcPr>
            <w:tcW w:w="2410" w:type="dxa"/>
            <w:tcBorders>
              <w:top w:val="single" w:sz="4" w:space="0" w:color="auto"/>
              <w:bottom w:val="single" w:sz="4" w:space="0" w:color="auto"/>
            </w:tcBorders>
          </w:tcPr>
          <w:p w14:paraId="03D81E18" w14:textId="77777777" w:rsidR="003858CA" w:rsidRPr="004563E3" w:rsidRDefault="003858CA" w:rsidP="004563E3">
            <w:pPr>
              <w:jc w:val="center"/>
              <w:rPr>
                <w:rFonts w:ascii="Cambria" w:hAnsi="Cambria" w:cstheme="minorHAnsi"/>
                <w:color w:val="3B3838" w:themeColor="background2" w:themeShade="40"/>
                <w:lang w:val="en-CA"/>
              </w:rPr>
            </w:pPr>
            <w:r w:rsidRPr="004563E3">
              <w:rPr>
                <w:rFonts w:ascii="Cambria" w:hAnsi="Cambria" w:cstheme="minorHAnsi"/>
                <w:color w:val="3B3838" w:themeColor="background2" w:themeShade="40"/>
                <w:lang w:val="en-CA"/>
              </w:rPr>
              <w:t>3.97%</w:t>
            </w:r>
          </w:p>
        </w:tc>
        <w:tc>
          <w:tcPr>
            <w:tcW w:w="3402" w:type="dxa"/>
            <w:tcBorders>
              <w:top w:val="single" w:sz="4" w:space="0" w:color="auto"/>
              <w:bottom w:val="single" w:sz="4" w:space="0" w:color="auto"/>
            </w:tcBorders>
          </w:tcPr>
          <w:p w14:paraId="15072250" w14:textId="77777777" w:rsidR="003858CA" w:rsidRPr="004563E3" w:rsidRDefault="003858CA" w:rsidP="004563E3">
            <w:pPr>
              <w:jc w:val="center"/>
              <w:rPr>
                <w:rFonts w:ascii="Cambria" w:hAnsi="Cambria" w:cstheme="minorHAnsi"/>
                <w:color w:val="3B3838" w:themeColor="background2" w:themeShade="40"/>
                <w:lang w:val="en-CA"/>
              </w:rPr>
            </w:pPr>
            <w:r w:rsidRPr="004563E3">
              <w:rPr>
                <w:rFonts w:ascii="Cambria" w:hAnsi="Cambria" w:cstheme="minorHAnsi"/>
                <w:color w:val="3B3838" w:themeColor="background2" w:themeShade="40"/>
                <w:lang w:val="en-CA"/>
              </w:rPr>
              <w:t>2.36%</w:t>
            </w:r>
          </w:p>
        </w:tc>
      </w:tr>
      <w:tr w:rsidR="003858CA" w:rsidRPr="003A2541" w14:paraId="792EBD20" w14:textId="77777777" w:rsidTr="004563E3">
        <w:trPr>
          <w:jc w:val="center"/>
        </w:trPr>
        <w:tc>
          <w:tcPr>
            <w:tcW w:w="3119" w:type="dxa"/>
            <w:tcBorders>
              <w:top w:val="single" w:sz="4" w:space="0" w:color="auto"/>
              <w:bottom w:val="nil"/>
            </w:tcBorders>
            <w:shd w:val="pct5" w:color="auto" w:fill="auto"/>
          </w:tcPr>
          <w:p w14:paraId="43882F50" w14:textId="77777777" w:rsidR="003858CA" w:rsidRPr="004563E3" w:rsidRDefault="003858CA" w:rsidP="004563E3">
            <w:pPr>
              <w:rPr>
                <w:rFonts w:ascii="Cambria" w:hAnsi="Cambria" w:cstheme="minorHAnsi"/>
                <w:color w:val="3B3838" w:themeColor="background2" w:themeShade="40"/>
                <w:lang w:val="en-CA"/>
              </w:rPr>
            </w:pPr>
            <w:r w:rsidRPr="004563E3">
              <w:rPr>
                <w:rFonts w:ascii="Cambria" w:hAnsi="Cambria" w:cstheme="minorHAnsi"/>
                <w:color w:val="3B3838" w:themeColor="background2" w:themeShade="40"/>
                <w:lang w:val="en-CA"/>
              </w:rPr>
              <w:t>No Response</w:t>
            </w:r>
          </w:p>
        </w:tc>
        <w:tc>
          <w:tcPr>
            <w:tcW w:w="2410" w:type="dxa"/>
            <w:tcBorders>
              <w:top w:val="single" w:sz="4" w:space="0" w:color="auto"/>
              <w:bottom w:val="nil"/>
            </w:tcBorders>
            <w:shd w:val="pct5" w:color="auto" w:fill="auto"/>
          </w:tcPr>
          <w:p w14:paraId="5A8BDB97" w14:textId="77777777" w:rsidR="003858CA" w:rsidRPr="004563E3" w:rsidRDefault="003858CA" w:rsidP="004563E3">
            <w:pPr>
              <w:jc w:val="center"/>
              <w:rPr>
                <w:rFonts w:ascii="Cambria" w:hAnsi="Cambria" w:cstheme="minorHAnsi"/>
                <w:color w:val="3B3838" w:themeColor="background2" w:themeShade="40"/>
                <w:lang w:val="en-CA"/>
              </w:rPr>
            </w:pPr>
            <w:r w:rsidRPr="004563E3">
              <w:rPr>
                <w:rFonts w:ascii="Cambria" w:hAnsi="Cambria" w:cstheme="minorHAnsi"/>
                <w:color w:val="3B3838" w:themeColor="background2" w:themeShade="40"/>
                <w:lang w:val="en-CA"/>
              </w:rPr>
              <w:t>9.62%</w:t>
            </w:r>
          </w:p>
        </w:tc>
        <w:tc>
          <w:tcPr>
            <w:tcW w:w="3402" w:type="dxa"/>
            <w:tcBorders>
              <w:top w:val="single" w:sz="4" w:space="0" w:color="auto"/>
              <w:bottom w:val="nil"/>
            </w:tcBorders>
            <w:shd w:val="pct5" w:color="auto" w:fill="auto"/>
          </w:tcPr>
          <w:p w14:paraId="42740D4B" w14:textId="77777777" w:rsidR="003858CA" w:rsidRPr="004563E3" w:rsidRDefault="003858CA" w:rsidP="004563E3">
            <w:pPr>
              <w:jc w:val="center"/>
              <w:rPr>
                <w:rFonts w:ascii="Cambria" w:hAnsi="Cambria" w:cstheme="minorHAnsi"/>
                <w:color w:val="3B3838" w:themeColor="background2" w:themeShade="40"/>
                <w:lang w:val="en-CA"/>
              </w:rPr>
            </w:pPr>
            <w:r w:rsidRPr="004563E3">
              <w:rPr>
                <w:rFonts w:ascii="Cambria" w:hAnsi="Cambria" w:cstheme="minorHAnsi"/>
                <w:color w:val="3B3838" w:themeColor="background2" w:themeShade="40"/>
                <w:lang w:val="en-CA"/>
              </w:rPr>
              <w:t>2.83%</w:t>
            </w:r>
          </w:p>
        </w:tc>
      </w:tr>
    </w:tbl>
    <w:p w14:paraId="163FC55B" w14:textId="1DFDCE35" w:rsidR="004563E3" w:rsidRDefault="004563E3" w:rsidP="00E4609E">
      <w:pPr>
        <w:rPr>
          <w:rFonts w:ascii="Cambria" w:hAnsi="Cambria"/>
          <w:i/>
        </w:rPr>
      </w:pPr>
    </w:p>
    <w:p w14:paraId="76B04610" w14:textId="47AD65E3" w:rsidR="008851FA" w:rsidRDefault="004563E3" w:rsidP="00E4609E">
      <w:pPr>
        <w:rPr>
          <w:rFonts w:ascii="Cambria" w:hAnsi="Cambria"/>
        </w:rPr>
      </w:pPr>
      <w:r>
        <w:rPr>
          <w:rFonts w:ascii="Cambria" w:hAnsi="Cambria"/>
        </w:rPr>
        <w:t>*</w:t>
      </w:r>
      <w:r w:rsidRPr="004563E3">
        <w:rPr>
          <w:rFonts w:ascii="Cambria" w:hAnsi="Cambria"/>
        </w:rPr>
        <w:t xml:space="preserve">Total percentages may not equal 100% due to rounding. </w:t>
      </w:r>
    </w:p>
    <w:p w14:paraId="622AA003" w14:textId="77777777" w:rsidR="008851FA" w:rsidRDefault="008851FA" w:rsidP="00E4609E">
      <w:pPr>
        <w:rPr>
          <w:rFonts w:ascii="Cambria" w:hAnsi="Cambria"/>
        </w:rPr>
      </w:pPr>
    </w:p>
    <w:p w14:paraId="6648A285" w14:textId="56771915" w:rsidR="004563E3" w:rsidRDefault="009D46DF" w:rsidP="00766A5E">
      <w:pPr>
        <w:spacing w:line="480" w:lineRule="auto"/>
        <w:rPr>
          <w:rFonts w:ascii="Cambria" w:hAnsi="Cambria"/>
        </w:rPr>
      </w:pPr>
      <w:r w:rsidRPr="007274A0">
        <w:rPr>
          <w:rFonts w:ascii="Cambria" w:hAnsi="Cambria"/>
        </w:rPr>
        <w:t xml:space="preserve">Figure 1 above shows that </w:t>
      </w:r>
      <w:r>
        <w:rPr>
          <w:rFonts w:ascii="Cambria" w:hAnsi="Cambria"/>
        </w:rPr>
        <w:t xml:space="preserve">the greatest percentage of </w:t>
      </w:r>
      <w:r w:rsidRPr="007274A0">
        <w:rPr>
          <w:rFonts w:ascii="Cambria" w:hAnsi="Cambria"/>
        </w:rPr>
        <w:t xml:space="preserve">online respondents </w:t>
      </w:r>
      <w:r>
        <w:rPr>
          <w:rFonts w:ascii="Cambria" w:hAnsi="Cambria"/>
        </w:rPr>
        <w:t>identified as 55-64</w:t>
      </w:r>
      <w:r w:rsidRPr="007274A0">
        <w:rPr>
          <w:rFonts w:ascii="Cambria" w:hAnsi="Cambria"/>
        </w:rPr>
        <w:t xml:space="preserve"> years</w:t>
      </w:r>
      <w:r>
        <w:rPr>
          <w:rFonts w:ascii="Cambria" w:hAnsi="Cambria"/>
        </w:rPr>
        <w:t xml:space="preserve"> (</w:t>
      </w:r>
      <w:r w:rsidRPr="007274A0">
        <w:rPr>
          <w:rFonts w:ascii="Cambria" w:hAnsi="Cambria"/>
        </w:rPr>
        <w:t>24%)</w:t>
      </w:r>
      <w:r>
        <w:rPr>
          <w:rFonts w:ascii="Cambria" w:hAnsi="Cambria"/>
        </w:rPr>
        <w:t xml:space="preserve">. Conversely, the greatest percentage of </w:t>
      </w:r>
      <w:r w:rsidRPr="007274A0">
        <w:rPr>
          <w:rFonts w:ascii="Cambria" w:hAnsi="Cambria"/>
        </w:rPr>
        <w:t>in-person respondents</w:t>
      </w:r>
      <w:r>
        <w:rPr>
          <w:rFonts w:ascii="Cambria" w:hAnsi="Cambria"/>
        </w:rPr>
        <w:t xml:space="preserve"> identified as </w:t>
      </w:r>
      <w:r w:rsidRPr="007274A0">
        <w:rPr>
          <w:rFonts w:ascii="Cambria" w:hAnsi="Cambria"/>
        </w:rPr>
        <w:t xml:space="preserve">18-24 years </w:t>
      </w:r>
      <w:r>
        <w:rPr>
          <w:rFonts w:ascii="Cambria" w:hAnsi="Cambria"/>
        </w:rPr>
        <w:t>(</w:t>
      </w:r>
      <w:r w:rsidRPr="007274A0">
        <w:rPr>
          <w:rFonts w:ascii="Cambria" w:hAnsi="Cambria"/>
        </w:rPr>
        <w:t>23%)</w:t>
      </w:r>
      <w:r w:rsidR="00766A5E">
        <w:rPr>
          <w:rFonts w:ascii="Cambria" w:hAnsi="Cambria"/>
        </w:rPr>
        <w:t>.</w:t>
      </w:r>
    </w:p>
    <w:p w14:paraId="320A1598" w14:textId="47EB2F53" w:rsidR="008851FA" w:rsidRDefault="008851FA" w:rsidP="00766A5E">
      <w:pPr>
        <w:spacing w:line="480" w:lineRule="auto"/>
        <w:rPr>
          <w:rFonts w:ascii="Cambria" w:hAnsi="Cambria"/>
        </w:rPr>
      </w:pPr>
    </w:p>
    <w:p w14:paraId="24836B74" w14:textId="77777777" w:rsidR="008851FA" w:rsidRPr="004563E3" w:rsidRDefault="008851FA" w:rsidP="00766A5E">
      <w:pPr>
        <w:spacing w:line="480" w:lineRule="auto"/>
        <w:rPr>
          <w:rFonts w:ascii="Cambria" w:hAnsi="Cambria"/>
        </w:rPr>
      </w:pPr>
    </w:p>
    <w:p w14:paraId="0E62189B" w14:textId="7AD65C3E" w:rsidR="003858CA" w:rsidRDefault="003858CA" w:rsidP="00E4609E">
      <w:pPr>
        <w:rPr>
          <w:rFonts w:ascii="Cambria" w:hAnsi="Cambria"/>
          <w:i/>
        </w:rPr>
      </w:pPr>
      <w:r w:rsidRPr="007274A0">
        <w:rPr>
          <w:rFonts w:ascii="Cambria" w:hAnsi="Cambria"/>
          <w:i/>
        </w:rPr>
        <w:lastRenderedPageBreak/>
        <w:t xml:space="preserve">Chart 2: </w:t>
      </w:r>
      <w:r w:rsidR="0050728B" w:rsidRPr="007274A0">
        <w:rPr>
          <w:rFonts w:ascii="Cambria" w:hAnsi="Cambria"/>
          <w:i/>
        </w:rPr>
        <w:t xml:space="preserve">Age </w:t>
      </w:r>
      <w:r w:rsidR="007274A0" w:rsidRPr="007274A0">
        <w:rPr>
          <w:rFonts w:ascii="Cambria" w:hAnsi="Cambria"/>
          <w:i/>
        </w:rPr>
        <w:t>Trends</w:t>
      </w:r>
    </w:p>
    <w:p w14:paraId="0C9DB42F" w14:textId="77777777" w:rsidR="00FE2D9E" w:rsidRPr="007274A0" w:rsidRDefault="00FE2D9E" w:rsidP="00E4609E">
      <w:pPr>
        <w:rPr>
          <w:rFonts w:ascii="Cambria" w:hAnsi="Cambria"/>
          <w:i/>
        </w:rPr>
      </w:pPr>
    </w:p>
    <w:p w14:paraId="1CBD9D86" w14:textId="5752685E" w:rsidR="002A3D59" w:rsidRPr="003A2541" w:rsidRDefault="00E4609E" w:rsidP="003858CA">
      <w:pPr>
        <w:jc w:val="center"/>
        <w:rPr>
          <w:rFonts w:ascii="Cambria" w:hAnsi="Cambria"/>
        </w:rPr>
      </w:pPr>
      <w:r w:rsidRPr="003A2541">
        <w:rPr>
          <w:rFonts w:ascii="Cambria" w:hAnsi="Cambria"/>
          <w:noProof/>
        </w:rPr>
        <w:drawing>
          <wp:inline distT="0" distB="0" distL="0" distR="0" wp14:anchorId="3D60C523" wp14:editId="441F2B8B">
            <wp:extent cx="4286495" cy="2171617"/>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9-03-28 at 3.28.21 PM.png"/>
                    <pic:cNvPicPr/>
                  </pic:nvPicPr>
                  <pic:blipFill>
                    <a:blip r:embed="rId8">
                      <a:extLst>
                        <a:ext uri="{28A0092B-C50C-407E-A947-70E740481C1C}">
                          <a14:useLocalDpi xmlns:a14="http://schemas.microsoft.com/office/drawing/2010/main" val="0"/>
                        </a:ext>
                      </a:extLst>
                    </a:blip>
                    <a:stretch>
                      <a:fillRect/>
                    </a:stretch>
                  </pic:blipFill>
                  <pic:spPr>
                    <a:xfrm>
                      <a:off x="0" y="0"/>
                      <a:ext cx="4286495" cy="2171617"/>
                    </a:xfrm>
                    <a:prstGeom prst="rect">
                      <a:avLst/>
                    </a:prstGeom>
                  </pic:spPr>
                </pic:pic>
              </a:graphicData>
            </a:graphic>
          </wp:inline>
        </w:drawing>
      </w:r>
    </w:p>
    <w:p w14:paraId="7BAD6E86" w14:textId="006A766B" w:rsidR="009A1DA9" w:rsidRDefault="00F768B5" w:rsidP="009D46DF">
      <w:pPr>
        <w:spacing w:line="480" w:lineRule="auto"/>
        <w:rPr>
          <w:rFonts w:ascii="Cambria" w:hAnsi="Cambria"/>
        </w:rPr>
      </w:pPr>
      <w:r w:rsidRPr="003A2541">
        <w:rPr>
          <w:rFonts w:ascii="Cambria" w:hAnsi="Cambria"/>
        </w:rPr>
        <w:t>Chart 2 above shows that a</w:t>
      </w:r>
      <w:r w:rsidR="00E4609E" w:rsidRPr="003A2541">
        <w:rPr>
          <w:rFonts w:ascii="Cambria" w:hAnsi="Cambria"/>
        </w:rPr>
        <w:t xml:space="preserve">ge </w:t>
      </w:r>
      <w:r w:rsidR="007274A0">
        <w:rPr>
          <w:rFonts w:ascii="Cambria" w:hAnsi="Cambria"/>
        </w:rPr>
        <w:t>trends</w:t>
      </w:r>
      <w:r w:rsidR="00E4609E" w:rsidRPr="003A2541">
        <w:rPr>
          <w:rFonts w:ascii="Cambria" w:hAnsi="Cambria"/>
        </w:rPr>
        <w:t xml:space="preserve"> for online and in-person </w:t>
      </w:r>
      <w:r w:rsidRPr="003A2541">
        <w:rPr>
          <w:rFonts w:ascii="Cambria" w:hAnsi="Cambria"/>
        </w:rPr>
        <w:t>respondents</w:t>
      </w:r>
      <w:r w:rsidR="00E4609E" w:rsidRPr="003A2541">
        <w:rPr>
          <w:rFonts w:ascii="Cambria" w:hAnsi="Cambria"/>
        </w:rPr>
        <w:t xml:space="preserve"> differed, with online respondents generally older </w:t>
      </w:r>
      <w:r w:rsidR="002A3D59" w:rsidRPr="003A2541">
        <w:rPr>
          <w:rFonts w:ascii="Cambria" w:hAnsi="Cambria"/>
        </w:rPr>
        <w:t xml:space="preserve">(three quarters older than age 35) </w:t>
      </w:r>
      <w:r w:rsidR="00E4609E" w:rsidRPr="003A2541">
        <w:rPr>
          <w:rFonts w:ascii="Cambria" w:hAnsi="Cambria"/>
        </w:rPr>
        <w:t>and in-person respondents younger</w:t>
      </w:r>
      <w:r w:rsidR="002A3D59" w:rsidRPr="003A2541">
        <w:rPr>
          <w:rFonts w:ascii="Cambria" w:hAnsi="Cambria"/>
        </w:rPr>
        <w:t xml:space="preserve"> (half younger than age 35)</w:t>
      </w:r>
      <w:r w:rsidR="00E4609E" w:rsidRPr="003A2541">
        <w:rPr>
          <w:rFonts w:ascii="Cambria" w:hAnsi="Cambria"/>
        </w:rPr>
        <w:t xml:space="preserve">. </w:t>
      </w:r>
      <w:r w:rsidR="00D64082">
        <w:rPr>
          <w:rFonts w:ascii="Cambria" w:hAnsi="Cambria"/>
        </w:rPr>
        <w:t>Notably,</w:t>
      </w:r>
      <w:r w:rsidR="000417F7">
        <w:rPr>
          <w:rFonts w:ascii="Cambria" w:hAnsi="Cambria"/>
        </w:rPr>
        <w:t xml:space="preserve"> 10% of respondents from the online survey skipped the question and 3% of </w:t>
      </w:r>
      <w:r w:rsidR="00884619">
        <w:rPr>
          <w:rFonts w:ascii="Cambria" w:hAnsi="Cambria"/>
        </w:rPr>
        <w:t xml:space="preserve">in-person </w:t>
      </w:r>
      <w:r w:rsidR="000417F7">
        <w:rPr>
          <w:rFonts w:ascii="Cambria" w:hAnsi="Cambria"/>
        </w:rPr>
        <w:t xml:space="preserve">respondents gave no response or did not know. </w:t>
      </w:r>
    </w:p>
    <w:p w14:paraId="5D367888" w14:textId="77777777" w:rsidR="00E4609E" w:rsidRPr="007274A0" w:rsidRDefault="00E4609E" w:rsidP="003E4142">
      <w:pPr>
        <w:spacing w:line="480" w:lineRule="auto"/>
        <w:rPr>
          <w:rFonts w:ascii="Cambria" w:hAnsi="Cambria"/>
          <w:b/>
        </w:rPr>
      </w:pPr>
      <w:r w:rsidRPr="007274A0">
        <w:rPr>
          <w:rFonts w:ascii="Cambria" w:hAnsi="Cambria"/>
          <w:b/>
        </w:rPr>
        <w:t>B. Similarities</w:t>
      </w:r>
    </w:p>
    <w:p w14:paraId="10C2E166" w14:textId="60BE14FC" w:rsidR="008851FA" w:rsidRPr="003A2541" w:rsidRDefault="009A1DA9" w:rsidP="008851FA">
      <w:pPr>
        <w:spacing w:line="480" w:lineRule="auto"/>
        <w:ind w:firstLine="720"/>
        <w:rPr>
          <w:rFonts w:ascii="Cambria" w:hAnsi="Cambria"/>
        </w:rPr>
      </w:pPr>
      <w:r>
        <w:rPr>
          <w:rFonts w:ascii="Cambria" w:hAnsi="Cambria"/>
        </w:rPr>
        <w:t xml:space="preserve">The next three charts show similarities for </w:t>
      </w:r>
      <w:r w:rsidR="0096126E">
        <w:rPr>
          <w:rFonts w:ascii="Cambria" w:hAnsi="Cambria"/>
        </w:rPr>
        <w:t xml:space="preserve">1. </w:t>
      </w:r>
      <w:r>
        <w:rPr>
          <w:rFonts w:ascii="Cambria" w:hAnsi="Cambria"/>
        </w:rPr>
        <w:t xml:space="preserve">contact with TBPS, </w:t>
      </w:r>
      <w:r w:rsidR="0096126E">
        <w:rPr>
          <w:rFonts w:ascii="Cambria" w:hAnsi="Cambria"/>
        </w:rPr>
        <w:t xml:space="preserve">2. </w:t>
      </w:r>
      <w:r>
        <w:rPr>
          <w:rFonts w:ascii="Cambria" w:hAnsi="Cambria"/>
        </w:rPr>
        <w:t xml:space="preserve">if respondents were treated with respect during </w:t>
      </w:r>
      <w:r w:rsidR="003E4142">
        <w:rPr>
          <w:rFonts w:ascii="Cambria" w:hAnsi="Cambria"/>
        </w:rPr>
        <w:t xml:space="preserve">their </w:t>
      </w:r>
      <w:r>
        <w:rPr>
          <w:rFonts w:ascii="Cambria" w:hAnsi="Cambria"/>
        </w:rPr>
        <w:t>contact</w:t>
      </w:r>
      <w:r w:rsidR="003E4142">
        <w:rPr>
          <w:rFonts w:ascii="Cambria" w:hAnsi="Cambria"/>
        </w:rPr>
        <w:t xml:space="preserve"> with TBPS</w:t>
      </w:r>
      <w:r>
        <w:rPr>
          <w:rFonts w:ascii="Cambria" w:hAnsi="Cambria"/>
        </w:rPr>
        <w:t xml:space="preserve">, and </w:t>
      </w:r>
      <w:r w:rsidR="0096126E">
        <w:rPr>
          <w:rFonts w:ascii="Cambria" w:hAnsi="Cambria"/>
        </w:rPr>
        <w:t xml:space="preserve">3. </w:t>
      </w:r>
      <w:r>
        <w:rPr>
          <w:rFonts w:ascii="Cambria" w:hAnsi="Cambria"/>
        </w:rPr>
        <w:t>perceptions of safety</w:t>
      </w:r>
      <w:r w:rsidR="003E4142">
        <w:rPr>
          <w:rFonts w:ascii="Cambria" w:hAnsi="Cambria"/>
        </w:rPr>
        <w:t xml:space="preserve">. </w:t>
      </w:r>
    </w:p>
    <w:p w14:paraId="51BB2D03" w14:textId="0F4D88E4" w:rsidR="00E4609E" w:rsidRPr="007274A0" w:rsidRDefault="00E4609E" w:rsidP="00E4609E">
      <w:pPr>
        <w:spacing w:line="480" w:lineRule="auto"/>
        <w:rPr>
          <w:rFonts w:ascii="Cambria" w:hAnsi="Cambria"/>
          <w:i/>
        </w:rPr>
      </w:pPr>
      <w:r w:rsidRPr="007274A0">
        <w:rPr>
          <w:rFonts w:ascii="Cambria" w:hAnsi="Cambria"/>
          <w:i/>
        </w:rPr>
        <w:t xml:space="preserve">Chart </w:t>
      </w:r>
      <w:r w:rsidR="00EC531F" w:rsidRPr="007274A0">
        <w:rPr>
          <w:rFonts w:ascii="Cambria" w:hAnsi="Cambria"/>
          <w:i/>
        </w:rPr>
        <w:t>3</w:t>
      </w:r>
      <w:r w:rsidRPr="007274A0">
        <w:rPr>
          <w:rFonts w:ascii="Cambria" w:hAnsi="Cambria"/>
          <w:i/>
        </w:rPr>
        <w:t>: Conta</w:t>
      </w:r>
      <w:bookmarkStart w:id="2" w:name="_GoBack"/>
      <w:bookmarkEnd w:id="2"/>
      <w:r w:rsidRPr="007274A0">
        <w:rPr>
          <w:rFonts w:ascii="Cambria" w:hAnsi="Cambria"/>
          <w:i/>
        </w:rPr>
        <w:t>t with Thunder Bay Police Service</w:t>
      </w:r>
    </w:p>
    <w:p w14:paraId="5AC3C75E" w14:textId="5FB3C785" w:rsidR="00E4609E" w:rsidRPr="004228FD" w:rsidRDefault="00E4609E" w:rsidP="004228FD">
      <w:pPr>
        <w:spacing w:line="259" w:lineRule="auto"/>
        <w:jc w:val="center"/>
        <w:rPr>
          <w:rFonts w:ascii="Cambria" w:eastAsiaTheme="minorHAnsi" w:hAnsi="Cambria"/>
        </w:rPr>
      </w:pPr>
      <w:r w:rsidRPr="003A2541">
        <w:rPr>
          <w:rFonts w:ascii="Cambria" w:hAnsi="Cambria"/>
          <w:noProof/>
        </w:rPr>
        <w:lastRenderedPageBreak/>
        <w:drawing>
          <wp:inline distT="0" distB="0" distL="0" distR="0" wp14:anchorId="411185F0" wp14:editId="584C12F7">
            <wp:extent cx="5311140" cy="2590800"/>
            <wp:effectExtent l="0" t="0" r="381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93581A" w14:textId="77777777" w:rsidR="00C30DDC" w:rsidRDefault="00C30DDC" w:rsidP="00C30DDC">
      <w:pPr>
        <w:spacing w:line="480" w:lineRule="auto"/>
        <w:rPr>
          <w:rFonts w:ascii="Cambria" w:hAnsi="Cambria"/>
        </w:rPr>
      </w:pPr>
    </w:p>
    <w:p w14:paraId="4E9C5964" w14:textId="5C7F0FEF" w:rsidR="00E4609E" w:rsidRPr="003A2541" w:rsidRDefault="00651727" w:rsidP="00EC531F">
      <w:pPr>
        <w:spacing w:line="480" w:lineRule="auto"/>
        <w:rPr>
          <w:rFonts w:ascii="Cambria" w:hAnsi="Cambria"/>
        </w:rPr>
      </w:pPr>
      <w:r w:rsidRPr="003A2541">
        <w:rPr>
          <w:rFonts w:ascii="Cambria" w:hAnsi="Cambria"/>
        </w:rPr>
        <w:t xml:space="preserve">Contact included calling 911, talking with a police officer on the street, at home or place of work, going to the police station, charged by an officer, encountered a RIDE program, or stopped for a violation. </w:t>
      </w:r>
      <w:r w:rsidR="0096126E">
        <w:rPr>
          <w:rFonts w:ascii="Cambria" w:hAnsi="Cambria"/>
        </w:rPr>
        <w:t>Slightly over half of o</w:t>
      </w:r>
      <w:r w:rsidR="00E4609E" w:rsidRPr="003A2541">
        <w:rPr>
          <w:rFonts w:ascii="Cambria" w:hAnsi="Cambria"/>
        </w:rPr>
        <w:t xml:space="preserve">nline (57%) and in person (55%) </w:t>
      </w:r>
      <w:r w:rsidR="002E50E1">
        <w:rPr>
          <w:rFonts w:ascii="Cambria" w:hAnsi="Cambria"/>
        </w:rPr>
        <w:t>respondents</w:t>
      </w:r>
      <w:r w:rsidR="00E4609E" w:rsidRPr="003A2541">
        <w:rPr>
          <w:rFonts w:ascii="Cambria" w:hAnsi="Cambria"/>
        </w:rPr>
        <w:t xml:space="preserve"> </w:t>
      </w:r>
      <w:r w:rsidR="002E50E1">
        <w:rPr>
          <w:rFonts w:ascii="Cambria" w:hAnsi="Cambria"/>
        </w:rPr>
        <w:t>reported</w:t>
      </w:r>
      <w:r w:rsidR="00E4609E" w:rsidRPr="003A2541">
        <w:rPr>
          <w:rFonts w:ascii="Cambria" w:hAnsi="Cambria"/>
        </w:rPr>
        <w:t xml:space="preserve"> </w:t>
      </w:r>
      <w:r w:rsidR="0096126E">
        <w:rPr>
          <w:rFonts w:ascii="Cambria" w:hAnsi="Cambria"/>
        </w:rPr>
        <w:t>they</w:t>
      </w:r>
      <w:r w:rsidR="00E4609E" w:rsidRPr="003A2541">
        <w:rPr>
          <w:rFonts w:ascii="Cambria" w:hAnsi="Cambria"/>
        </w:rPr>
        <w:t xml:space="preserve"> had contact with police. </w:t>
      </w:r>
      <w:r w:rsidR="006A2923">
        <w:rPr>
          <w:rFonts w:ascii="Cambria" w:hAnsi="Cambria"/>
        </w:rPr>
        <w:t>Notably,</w:t>
      </w:r>
      <w:r w:rsidR="00412242">
        <w:rPr>
          <w:rFonts w:ascii="Cambria" w:hAnsi="Cambria"/>
        </w:rPr>
        <w:t xml:space="preserve"> 6% of the respondents from the online survey skipped the question, and 5% of </w:t>
      </w:r>
      <w:r w:rsidR="00964B03">
        <w:rPr>
          <w:rFonts w:ascii="Cambria" w:hAnsi="Cambria"/>
        </w:rPr>
        <w:t xml:space="preserve">in-person </w:t>
      </w:r>
      <w:r w:rsidR="00412242">
        <w:rPr>
          <w:rFonts w:ascii="Cambria" w:hAnsi="Cambria"/>
        </w:rPr>
        <w:t>respondents gave no response or did not know.</w:t>
      </w:r>
      <w:r w:rsidR="006A2923">
        <w:rPr>
          <w:rFonts w:ascii="Cambria" w:hAnsi="Cambria"/>
        </w:rPr>
        <w:t xml:space="preserve"> </w:t>
      </w:r>
    </w:p>
    <w:p w14:paraId="24ACD3CF" w14:textId="0CD796A0" w:rsidR="00E4609E" w:rsidRPr="00F9471E" w:rsidRDefault="00E4609E" w:rsidP="00EC531F">
      <w:pPr>
        <w:spacing w:line="480" w:lineRule="auto"/>
        <w:rPr>
          <w:rFonts w:ascii="Cambria" w:hAnsi="Cambria"/>
          <w:i/>
        </w:rPr>
      </w:pPr>
      <w:r w:rsidRPr="00F9471E">
        <w:rPr>
          <w:rFonts w:ascii="Cambria" w:hAnsi="Cambria"/>
          <w:i/>
        </w:rPr>
        <w:t>Chart 4: Treated with respect</w:t>
      </w:r>
    </w:p>
    <w:p w14:paraId="4D51C226" w14:textId="45BA3B30" w:rsidR="00E4609E" w:rsidRPr="003A2541" w:rsidRDefault="00E4609E" w:rsidP="00EC531F">
      <w:pPr>
        <w:jc w:val="center"/>
        <w:rPr>
          <w:rFonts w:ascii="Cambria" w:hAnsi="Cambria"/>
        </w:rPr>
      </w:pPr>
      <w:r w:rsidRPr="003A2541">
        <w:rPr>
          <w:rFonts w:ascii="Cambria" w:hAnsi="Cambria"/>
          <w:noProof/>
        </w:rPr>
        <w:drawing>
          <wp:inline distT="0" distB="0" distL="0" distR="0" wp14:anchorId="79807235" wp14:editId="4FAA4B59">
            <wp:extent cx="5311140" cy="2613660"/>
            <wp:effectExtent l="0" t="0" r="3810" b="1524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5F91C38" w14:textId="77777777" w:rsidR="00C30DDC" w:rsidRDefault="00C30DDC" w:rsidP="009A1DA9">
      <w:pPr>
        <w:spacing w:line="480" w:lineRule="auto"/>
        <w:rPr>
          <w:rFonts w:ascii="Cambria" w:hAnsi="Cambria"/>
        </w:rPr>
      </w:pPr>
    </w:p>
    <w:p w14:paraId="271A3AE4" w14:textId="13EA53D6" w:rsidR="009A1DA9" w:rsidRPr="009A1DA9" w:rsidRDefault="002E50E1" w:rsidP="009A1DA9">
      <w:pPr>
        <w:spacing w:line="480" w:lineRule="auto"/>
        <w:rPr>
          <w:rFonts w:ascii="Cambria" w:hAnsi="Cambria"/>
        </w:rPr>
      </w:pPr>
      <w:r w:rsidRPr="003A2541">
        <w:rPr>
          <w:rFonts w:ascii="Cambria" w:hAnsi="Cambria"/>
        </w:rPr>
        <w:t xml:space="preserve">Respondents </w:t>
      </w:r>
      <w:r>
        <w:rPr>
          <w:rFonts w:ascii="Cambria" w:hAnsi="Cambria"/>
        </w:rPr>
        <w:t>who</w:t>
      </w:r>
      <w:r w:rsidRPr="003A2541">
        <w:rPr>
          <w:rFonts w:ascii="Cambria" w:hAnsi="Cambria"/>
        </w:rPr>
        <w:t xml:space="preserve"> answered yes to the </w:t>
      </w:r>
      <w:r w:rsidR="0096126E">
        <w:rPr>
          <w:rFonts w:ascii="Cambria" w:hAnsi="Cambria"/>
        </w:rPr>
        <w:t xml:space="preserve">previous </w:t>
      </w:r>
      <w:r w:rsidRPr="003A2541">
        <w:rPr>
          <w:rFonts w:ascii="Cambria" w:hAnsi="Cambria"/>
        </w:rPr>
        <w:t>question (</w:t>
      </w:r>
      <w:r w:rsidR="0096126E">
        <w:rPr>
          <w:rFonts w:ascii="Cambria" w:hAnsi="Cambria"/>
        </w:rPr>
        <w:t xml:space="preserve">see </w:t>
      </w:r>
      <w:r w:rsidRPr="003A2541">
        <w:rPr>
          <w:rFonts w:ascii="Cambria" w:hAnsi="Cambria"/>
        </w:rPr>
        <w:t>Chart 3),</w:t>
      </w:r>
      <w:r>
        <w:rPr>
          <w:rFonts w:ascii="Cambria" w:hAnsi="Cambria"/>
        </w:rPr>
        <w:t xml:space="preserve"> then reported </w:t>
      </w:r>
      <w:r w:rsidRPr="003A2541">
        <w:rPr>
          <w:rFonts w:ascii="Cambria" w:hAnsi="Cambria"/>
        </w:rPr>
        <w:t xml:space="preserve">if they were treated with respect by police officers or staff during </w:t>
      </w:r>
      <w:r>
        <w:rPr>
          <w:rFonts w:ascii="Cambria" w:hAnsi="Cambria"/>
        </w:rPr>
        <w:t>their contact</w:t>
      </w:r>
      <w:r w:rsidRPr="003A2541">
        <w:rPr>
          <w:rFonts w:ascii="Cambria" w:hAnsi="Cambria"/>
        </w:rPr>
        <w:t xml:space="preserve">. </w:t>
      </w:r>
      <w:r>
        <w:rPr>
          <w:rFonts w:ascii="Cambria" w:hAnsi="Cambria"/>
        </w:rPr>
        <w:t>Of those that answered “yes”, in Chart 3, m</w:t>
      </w:r>
      <w:r w:rsidR="009A1DA9">
        <w:rPr>
          <w:rFonts w:ascii="Cambria" w:hAnsi="Cambria"/>
        </w:rPr>
        <w:t xml:space="preserve">ore than three quarters of </w:t>
      </w:r>
      <w:r w:rsidR="0096126E">
        <w:rPr>
          <w:rFonts w:ascii="Cambria" w:hAnsi="Cambria"/>
        </w:rPr>
        <w:t xml:space="preserve">these </w:t>
      </w:r>
      <w:r w:rsidR="009A1DA9">
        <w:rPr>
          <w:rFonts w:ascii="Cambria" w:hAnsi="Cambria"/>
        </w:rPr>
        <w:t>o</w:t>
      </w:r>
      <w:r w:rsidR="00E4609E" w:rsidRPr="003A2541">
        <w:rPr>
          <w:rFonts w:ascii="Cambria" w:hAnsi="Cambria"/>
        </w:rPr>
        <w:t>nline (8</w:t>
      </w:r>
      <w:r w:rsidR="00BB3387">
        <w:rPr>
          <w:rFonts w:ascii="Cambria" w:hAnsi="Cambria"/>
        </w:rPr>
        <w:t>1</w:t>
      </w:r>
      <w:r w:rsidR="00E4609E" w:rsidRPr="003A2541">
        <w:rPr>
          <w:rFonts w:ascii="Cambria" w:hAnsi="Cambria"/>
        </w:rPr>
        <w:t>%) and in</w:t>
      </w:r>
      <w:r w:rsidR="009A1DA9">
        <w:rPr>
          <w:rFonts w:ascii="Cambria" w:hAnsi="Cambria"/>
        </w:rPr>
        <w:t>-</w:t>
      </w:r>
      <w:r w:rsidR="00E4609E" w:rsidRPr="003A2541">
        <w:rPr>
          <w:rFonts w:ascii="Cambria" w:hAnsi="Cambria"/>
        </w:rPr>
        <w:t>person (80%) respondents reported they were treated with respect by the Thunder Bay Police officer or staff person</w:t>
      </w:r>
      <w:r w:rsidR="009A1DA9">
        <w:rPr>
          <w:rFonts w:ascii="Cambria" w:hAnsi="Cambria"/>
        </w:rPr>
        <w:t xml:space="preserve"> </w:t>
      </w:r>
      <w:r w:rsidR="009A1DA9" w:rsidRPr="003A2541">
        <w:rPr>
          <w:rFonts w:ascii="Cambria" w:hAnsi="Cambria"/>
        </w:rPr>
        <w:t xml:space="preserve">during </w:t>
      </w:r>
      <w:r w:rsidR="009A1DA9">
        <w:rPr>
          <w:rFonts w:ascii="Cambria" w:hAnsi="Cambria"/>
        </w:rPr>
        <w:t>their contact</w:t>
      </w:r>
      <w:r w:rsidR="00E4609E" w:rsidRPr="003A2541">
        <w:rPr>
          <w:rFonts w:ascii="Cambria" w:hAnsi="Cambria"/>
        </w:rPr>
        <w:t xml:space="preserve">. </w:t>
      </w:r>
      <w:r w:rsidR="006A2923">
        <w:rPr>
          <w:rFonts w:ascii="Cambria" w:hAnsi="Cambria"/>
        </w:rPr>
        <w:t xml:space="preserve">Notably, </w:t>
      </w:r>
      <w:r w:rsidR="008D1D4F">
        <w:rPr>
          <w:rFonts w:ascii="Cambria" w:hAnsi="Cambria"/>
        </w:rPr>
        <w:t>10% of online respondents skipped this question and 5% of in-person respondents</w:t>
      </w:r>
      <w:r w:rsidR="000417F7">
        <w:rPr>
          <w:rFonts w:ascii="Cambria" w:hAnsi="Cambria"/>
        </w:rPr>
        <w:t xml:space="preserve"> gave no response or did not know</w:t>
      </w:r>
      <w:r w:rsidR="008D1D4F">
        <w:rPr>
          <w:rFonts w:ascii="Cambria" w:hAnsi="Cambria"/>
        </w:rPr>
        <w:t>.</w:t>
      </w:r>
      <w:r w:rsidR="000417F7">
        <w:rPr>
          <w:rFonts w:ascii="Cambria" w:hAnsi="Cambria"/>
        </w:rPr>
        <w:t xml:space="preserve"> </w:t>
      </w:r>
    </w:p>
    <w:p w14:paraId="034340BF" w14:textId="65F9D6C2" w:rsidR="00E4609E" w:rsidRPr="00F9471E" w:rsidRDefault="00E4609E" w:rsidP="003A2541">
      <w:pPr>
        <w:spacing w:line="480" w:lineRule="auto"/>
        <w:rPr>
          <w:rFonts w:ascii="Cambria" w:hAnsi="Cambria"/>
          <w:i/>
        </w:rPr>
      </w:pPr>
      <w:r w:rsidRPr="0044076B">
        <w:rPr>
          <w:rFonts w:ascii="Cambria" w:hAnsi="Cambria"/>
          <w:i/>
        </w:rPr>
        <w:t>Chart 5: Safety of Thunder Bay</w:t>
      </w:r>
      <w:r w:rsidR="00801371" w:rsidRPr="0044076B">
        <w:rPr>
          <w:rFonts w:ascii="Cambria" w:hAnsi="Cambria"/>
          <w:i/>
        </w:rPr>
        <w:t xml:space="preserve"> </w:t>
      </w:r>
    </w:p>
    <w:p w14:paraId="5FB26307" w14:textId="77777777" w:rsidR="00B95B0A" w:rsidRDefault="00E4609E" w:rsidP="00B95B0A">
      <w:pPr>
        <w:jc w:val="center"/>
        <w:rPr>
          <w:rFonts w:ascii="Cambria" w:hAnsi="Cambria"/>
        </w:rPr>
      </w:pPr>
      <w:r w:rsidRPr="003A2541">
        <w:rPr>
          <w:rFonts w:ascii="Cambria" w:hAnsi="Cambria"/>
          <w:noProof/>
        </w:rPr>
        <w:drawing>
          <wp:inline distT="0" distB="0" distL="0" distR="0" wp14:anchorId="531964FB" wp14:editId="7B848091">
            <wp:extent cx="5257800" cy="2827020"/>
            <wp:effectExtent l="0" t="0" r="12700" b="1778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52D4AD" w14:textId="77777777" w:rsidR="00B95B0A" w:rsidRDefault="00B95B0A" w:rsidP="00B95B0A">
      <w:pPr>
        <w:jc w:val="center"/>
        <w:rPr>
          <w:rFonts w:ascii="Cambria" w:hAnsi="Cambria"/>
        </w:rPr>
      </w:pPr>
    </w:p>
    <w:p w14:paraId="7A0E34A2" w14:textId="78950ACA" w:rsidR="002E50E1" w:rsidRPr="00B95B0A" w:rsidRDefault="00E4609E" w:rsidP="00B95B0A">
      <w:pPr>
        <w:spacing w:line="480" w:lineRule="auto"/>
        <w:rPr>
          <w:rFonts w:ascii="Cambria" w:hAnsi="Cambria"/>
        </w:rPr>
      </w:pPr>
      <w:r w:rsidRPr="00B95B0A">
        <w:rPr>
          <w:rFonts w:ascii="Cambria" w:hAnsi="Cambria"/>
        </w:rPr>
        <w:t>Online (</w:t>
      </w:r>
      <w:r w:rsidR="00F06A2D" w:rsidRPr="00B95B0A">
        <w:rPr>
          <w:rFonts w:ascii="Cambria" w:hAnsi="Cambria"/>
        </w:rPr>
        <w:t>39</w:t>
      </w:r>
      <w:r w:rsidRPr="00B95B0A">
        <w:rPr>
          <w:rFonts w:ascii="Cambria" w:hAnsi="Cambria"/>
        </w:rPr>
        <w:t>%) and in-person (</w:t>
      </w:r>
      <w:r w:rsidR="00F06A2D" w:rsidRPr="00B95B0A">
        <w:rPr>
          <w:rFonts w:ascii="Cambria" w:hAnsi="Cambria"/>
        </w:rPr>
        <w:t>31</w:t>
      </w:r>
      <w:r w:rsidRPr="00B95B0A">
        <w:rPr>
          <w:rFonts w:ascii="Cambria" w:hAnsi="Cambria"/>
        </w:rPr>
        <w:t xml:space="preserve">%) respondents </w:t>
      </w:r>
      <w:r w:rsidR="0096126E">
        <w:rPr>
          <w:rFonts w:ascii="Cambria" w:hAnsi="Cambria"/>
        </w:rPr>
        <w:t>perceived</w:t>
      </w:r>
      <w:r w:rsidRPr="00B95B0A">
        <w:rPr>
          <w:rFonts w:ascii="Cambria" w:hAnsi="Cambria"/>
        </w:rPr>
        <w:t xml:space="preserve"> that Thunder Bay </w:t>
      </w:r>
      <w:r w:rsidR="00F06A2D" w:rsidRPr="00B95B0A">
        <w:rPr>
          <w:rFonts w:ascii="Cambria" w:hAnsi="Cambria"/>
        </w:rPr>
        <w:t>is somewhat safe</w:t>
      </w:r>
      <w:r w:rsidRPr="00B95B0A">
        <w:rPr>
          <w:rFonts w:ascii="Cambria" w:hAnsi="Cambria"/>
        </w:rPr>
        <w:t xml:space="preserve">. </w:t>
      </w:r>
      <w:r w:rsidR="00C34B41">
        <w:rPr>
          <w:rFonts w:ascii="Cambria" w:hAnsi="Cambria"/>
        </w:rPr>
        <w:t xml:space="preserve">Notably, 9% of online respondents skipped this question and 5% of in-person respondents gave no response or did not know. </w:t>
      </w:r>
    </w:p>
    <w:p w14:paraId="57D05A7B" w14:textId="77777777" w:rsidR="00E4609E" w:rsidRPr="00F9471E" w:rsidRDefault="00E4609E" w:rsidP="00B95B0A">
      <w:pPr>
        <w:spacing w:line="480" w:lineRule="auto"/>
        <w:rPr>
          <w:rFonts w:ascii="Cambria" w:hAnsi="Cambria"/>
          <w:b/>
        </w:rPr>
      </w:pPr>
      <w:r w:rsidRPr="00F9471E">
        <w:rPr>
          <w:rFonts w:ascii="Cambria" w:hAnsi="Cambria"/>
          <w:b/>
        </w:rPr>
        <w:t>C. Differences</w:t>
      </w:r>
    </w:p>
    <w:p w14:paraId="1D52BE45" w14:textId="7C0C820B" w:rsidR="00874DA7" w:rsidRPr="00874DA7" w:rsidRDefault="004228FD" w:rsidP="00B95B0A">
      <w:pPr>
        <w:spacing w:line="480" w:lineRule="auto"/>
        <w:ind w:firstLine="720"/>
        <w:rPr>
          <w:rFonts w:ascii="Cambria" w:hAnsi="Cambria"/>
        </w:rPr>
      </w:pPr>
      <w:r w:rsidRPr="00B95B0A">
        <w:rPr>
          <w:rFonts w:ascii="Cambria" w:hAnsi="Cambria"/>
        </w:rPr>
        <w:t xml:space="preserve">The next </w:t>
      </w:r>
      <w:r w:rsidR="00EF225F" w:rsidRPr="00B95B0A">
        <w:rPr>
          <w:rFonts w:ascii="Cambria" w:hAnsi="Cambria"/>
        </w:rPr>
        <w:t>three</w:t>
      </w:r>
      <w:r w:rsidRPr="00B95B0A">
        <w:rPr>
          <w:rFonts w:ascii="Cambria" w:hAnsi="Cambria"/>
        </w:rPr>
        <w:t xml:space="preserve"> charts show differences to statements that </w:t>
      </w:r>
      <w:r w:rsidR="00F74577" w:rsidRPr="00B95B0A">
        <w:rPr>
          <w:rFonts w:ascii="Cambria" w:hAnsi="Cambria"/>
        </w:rPr>
        <w:t>the TBPS</w:t>
      </w:r>
      <w:r w:rsidR="00E4609E" w:rsidRPr="00B95B0A">
        <w:rPr>
          <w:rFonts w:ascii="Cambria" w:hAnsi="Cambria"/>
        </w:rPr>
        <w:t xml:space="preserve"> </w:t>
      </w:r>
      <w:r w:rsidR="00D5414B">
        <w:rPr>
          <w:rFonts w:ascii="Cambria" w:hAnsi="Cambria"/>
        </w:rPr>
        <w:t xml:space="preserve">is sensitive to the needs of MY group, </w:t>
      </w:r>
      <w:r w:rsidR="00E4609E" w:rsidRPr="00B95B0A">
        <w:rPr>
          <w:rFonts w:ascii="Cambria" w:hAnsi="Cambria"/>
        </w:rPr>
        <w:t xml:space="preserve">treats people fairly, </w:t>
      </w:r>
      <w:r w:rsidR="00D5414B">
        <w:rPr>
          <w:rFonts w:ascii="Cambria" w:hAnsi="Cambria"/>
        </w:rPr>
        <w:t xml:space="preserve">and has </w:t>
      </w:r>
      <w:r w:rsidR="00874DA7" w:rsidRPr="00B95B0A">
        <w:rPr>
          <w:rFonts w:ascii="Cambria" w:hAnsi="Cambria"/>
        </w:rPr>
        <w:t>confidence in the TBPS</w:t>
      </w:r>
      <w:r w:rsidR="00E4609E" w:rsidRPr="00B95B0A">
        <w:rPr>
          <w:rFonts w:ascii="Cambria" w:hAnsi="Cambria"/>
        </w:rPr>
        <w:t>.</w:t>
      </w:r>
      <w:r w:rsidR="00E4609E" w:rsidRPr="00874DA7">
        <w:rPr>
          <w:rFonts w:ascii="Cambria" w:hAnsi="Cambria"/>
        </w:rPr>
        <w:t xml:space="preserve"> </w:t>
      </w:r>
    </w:p>
    <w:p w14:paraId="316ECE6C" w14:textId="5059DC24" w:rsidR="008D1CA9" w:rsidRDefault="00E4609E" w:rsidP="00F74577">
      <w:pPr>
        <w:spacing w:line="480" w:lineRule="auto"/>
        <w:rPr>
          <w:rFonts w:ascii="Cambria" w:hAnsi="Cambria"/>
          <w:i/>
        </w:rPr>
      </w:pPr>
      <w:r w:rsidRPr="00AF32A7">
        <w:rPr>
          <w:rFonts w:ascii="Cambria" w:hAnsi="Cambria"/>
          <w:i/>
        </w:rPr>
        <w:lastRenderedPageBreak/>
        <w:t xml:space="preserve">Chart </w:t>
      </w:r>
      <w:r w:rsidR="00B95B0A">
        <w:rPr>
          <w:rFonts w:ascii="Cambria" w:hAnsi="Cambria"/>
          <w:i/>
        </w:rPr>
        <w:t>6</w:t>
      </w:r>
      <w:r w:rsidRPr="00AF32A7">
        <w:rPr>
          <w:rFonts w:ascii="Cambria" w:hAnsi="Cambria"/>
          <w:i/>
        </w:rPr>
        <w:t xml:space="preserve">: </w:t>
      </w:r>
      <w:r w:rsidR="008D1CA9">
        <w:rPr>
          <w:rFonts w:ascii="Cambria" w:hAnsi="Cambria"/>
          <w:i/>
        </w:rPr>
        <w:t xml:space="preserve">Sensitive to the needs of MY group </w:t>
      </w:r>
    </w:p>
    <w:p w14:paraId="440A8051" w14:textId="5DB66052" w:rsidR="008D1CA9" w:rsidRDefault="003652BE" w:rsidP="00F74577">
      <w:pPr>
        <w:spacing w:line="480" w:lineRule="auto"/>
        <w:rPr>
          <w:rFonts w:ascii="Cambria" w:hAnsi="Cambria"/>
          <w:i/>
        </w:rPr>
      </w:pPr>
      <w:r>
        <w:rPr>
          <w:noProof/>
        </w:rPr>
        <w:drawing>
          <wp:inline distT="0" distB="0" distL="0" distR="0" wp14:anchorId="0B5193E5" wp14:editId="53A37B07">
            <wp:extent cx="5868365" cy="2682240"/>
            <wp:effectExtent l="0" t="0" r="18415" b="381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2FF25A8" w14:textId="2C976104" w:rsidR="002E50E1" w:rsidRPr="006068C4" w:rsidRDefault="006068C4" w:rsidP="00F74577">
      <w:pPr>
        <w:spacing w:line="480" w:lineRule="auto"/>
        <w:rPr>
          <w:rFonts w:ascii="Cambria" w:hAnsi="Cambria"/>
        </w:rPr>
      </w:pPr>
      <w:r>
        <w:rPr>
          <w:rFonts w:ascii="Cambria" w:hAnsi="Cambria"/>
        </w:rPr>
        <w:t xml:space="preserve">The </w:t>
      </w:r>
      <w:r w:rsidRPr="003A2541">
        <w:rPr>
          <w:rFonts w:ascii="Cambria" w:hAnsi="Cambria"/>
        </w:rPr>
        <w:t xml:space="preserve">prompt for respondents reads, “Group means the group(s) that you identify with through your ethnicity, race, culture, sexual orientation, religion, etc.”. </w:t>
      </w:r>
      <w:r>
        <w:rPr>
          <w:rFonts w:ascii="Cambria" w:hAnsi="Cambria"/>
        </w:rPr>
        <w:t>Nearly half of o</w:t>
      </w:r>
      <w:r w:rsidRPr="003A2541">
        <w:rPr>
          <w:rFonts w:ascii="Cambria" w:hAnsi="Cambria"/>
        </w:rPr>
        <w:t xml:space="preserve">nline </w:t>
      </w:r>
      <w:r>
        <w:rPr>
          <w:rFonts w:ascii="Cambria" w:hAnsi="Cambria"/>
        </w:rPr>
        <w:t xml:space="preserve">respondents </w:t>
      </w:r>
      <w:r w:rsidRPr="003A2541">
        <w:rPr>
          <w:rFonts w:ascii="Cambria" w:hAnsi="Cambria"/>
        </w:rPr>
        <w:t xml:space="preserve">(47%) </w:t>
      </w:r>
      <w:r w:rsidR="00C47553">
        <w:rPr>
          <w:rFonts w:ascii="Cambria" w:hAnsi="Cambria"/>
        </w:rPr>
        <w:t>chose</w:t>
      </w:r>
      <w:r w:rsidRPr="003A2541">
        <w:rPr>
          <w:rFonts w:ascii="Cambria" w:hAnsi="Cambria"/>
        </w:rPr>
        <w:t xml:space="preserve"> ‘strongly agree’</w:t>
      </w:r>
      <w:r w:rsidR="0096126E">
        <w:rPr>
          <w:rFonts w:ascii="Cambria" w:hAnsi="Cambria"/>
        </w:rPr>
        <w:t xml:space="preserve">; </w:t>
      </w:r>
      <w:r w:rsidR="0096126E" w:rsidRPr="003A2541">
        <w:rPr>
          <w:rFonts w:ascii="Cambria" w:hAnsi="Cambria"/>
        </w:rPr>
        <w:t>less than a quarter of in-person respondents (24%) chose ‘strongly agree’</w:t>
      </w:r>
      <w:r w:rsidR="0096126E">
        <w:rPr>
          <w:rFonts w:ascii="Cambria" w:hAnsi="Cambria"/>
        </w:rPr>
        <w:t>. Conversely, few</w:t>
      </w:r>
      <w:r w:rsidRPr="003A2541">
        <w:rPr>
          <w:rFonts w:ascii="Cambria" w:hAnsi="Cambria"/>
        </w:rPr>
        <w:t xml:space="preserve"> </w:t>
      </w:r>
      <w:r w:rsidR="0096126E">
        <w:rPr>
          <w:rFonts w:ascii="Cambria" w:hAnsi="Cambria"/>
        </w:rPr>
        <w:t xml:space="preserve">online respondents chose </w:t>
      </w:r>
      <w:r w:rsidRPr="003A2541">
        <w:rPr>
          <w:rFonts w:ascii="Cambria" w:hAnsi="Cambria"/>
        </w:rPr>
        <w:t>‘strongly disagree’</w:t>
      </w:r>
      <w:r>
        <w:rPr>
          <w:rFonts w:ascii="Cambria" w:hAnsi="Cambria"/>
        </w:rPr>
        <w:t xml:space="preserve"> (9%</w:t>
      </w:r>
      <w:r w:rsidR="00C47553">
        <w:rPr>
          <w:rFonts w:ascii="Cambria" w:hAnsi="Cambria"/>
        </w:rPr>
        <w:t>)</w:t>
      </w:r>
      <w:r w:rsidR="0096126E">
        <w:rPr>
          <w:rFonts w:ascii="Cambria" w:hAnsi="Cambria"/>
        </w:rPr>
        <w:t xml:space="preserve">, while </w:t>
      </w:r>
      <w:r w:rsidRPr="003A2541">
        <w:rPr>
          <w:rFonts w:ascii="Cambria" w:hAnsi="Cambria"/>
        </w:rPr>
        <w:t xml:space="preserve">nearly </w:t>
      </w:r>
      <w:r>
        <w:rPr>
          <w:rFonts w:ascii="Cambria" w:hAnsi="Cambria"/>
        </w:rPr>
        <w:t>a fifth</w:t>
      </w:r>
      <w:r w:rsidRPr="003A2541">
        <w:rPr>
          <w:rFonts w:ascii="Cambria" w:hAnsi="Cambria"/>
        </w:rPr>
        <w:t xml:space="preserve"> (18%)</w:t>
      </w:r>
      <w:r w:rsidR="00C47553">
        <w:rPr>
          <w:rFonts w:ascii="Cambria" w:hAnsi="Cambria"/>
        </w:rPr>
        <w:t xml:space="preserve"> </w:t>
      </w:r>
      <w:r w:rsidR="0096126E">
        <w:rPr>
          <w:rFonts w:ascii="Cambria" w:hAnsi="Cambria"/>
        </w:rPr>
        <w:t xml:space="preserve">of in-person respondents </w:t>
      </w:r>
      <w:r w:rsidRPr="003A2541">
        <w:rPr>
          <w:rFonts w:ascii="Cambria" w:hAnsi="Cambria"/>
        </w:rPr>
        <w:t xml:space="preserve">chose ‘strongly disagree’. </w:t>
      </w:r>
      <w:r>
        <w:rPr>
          <w:rFonts w:ascii="Cambria" w:hAnsi="Cambria"/>
        </w:rPr>
        <w:t>Notably</w:t>
      </w:r>
      <w:r w:rsidRPr="003A2541">
        <w:rPr>
          <w:rFonts w:ascii="Cambria" w:hAnsi="Cambria"/>
        </w:rPr>
        <w:t xml:space="preserve">, </w:t>
      </w:r>
      <w:r w:rsidR="0082730A">
        <w:rPr>
          <w:rFonts w:ascii="Cambria" w:hAnsi="Cambria"/>
        </w:rPr>
        <w:t xml:space="preserve">10% of online respondents skipped this question and 9% of in-person respondents gave no response or did not know. </w:t>
      </w:r>
    </w:p>
    <w:p w14:paraId="45F163D9" w14:textId="443CBC87" w:rsidR="00E4609E" w:rsidRPr="00AF32A7" w:rsidRDefault="003652BE" w:rsidP="00F74577">
      <w:pPr>
        <w:spacing w:line="480" w:lineRule="auto"/>
        <w:rPr>
          <w:rFonts w:ascii="Cambria" w:hAnsi="Cambria"/>
          <w:i/>
        </w:rPr>
      </w:pPr>
      <w:r>
        <w:rPr>
          <w:rFonts w:ascii="Cambria" w:hAnsi="Cambria"/>
          <w:i/>
        </w:rPr>
        <w:t xml:space="preserve">Chart 7: </w:t>
      </w:r>
      <w:r w:rsidR="00E4609E" w:rsidRPr="00AF32A7">
        <w:rPr>
          <w:rFonts w:ascii="Cambria" w:hAnsi="Cambria"/>
          <w:i/>
        </w:rPr>
        <w:t xml:space="preserve">Treating people fairly </w:t>
      </w:r>
    </w:p>
    <w:p w14:paraId="15E9EC90" w14:textId="1B34AB26" w:rsidR="00B95B0A" w:rsidRDefault="00E4609E" w:rsidP="002E50E1">
      <w:pPr>
        <w:rPr>
          <w:rFonts w:ascii="Cambria" w:hAnsi="Cambria"/>
        </w:rPr>
      </w:pPr>
      <w:r w:rsidRPr="003A2541">
        <w:rPr>
          <w:rFonts w:ascii="Cambria" w:hAnsi="Cambria"/>
          <w:noProof/>
        </w:rPr>
        <w:lastRenderedPageBreak/>
        <w:drawing>
          <wp:inline distT="0" distB="0" distL="0" distR="0" wp14:anchorId="62788E89" wp14:editId="46010279">
            <wp:extent cx="5858540" cy="3200400"/>
            <wp:effectExtent l="0" t="0" r="889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4630F0" w14:textId="12C9FBD1" w:rsidR="0082730A" w:rsidRDefault="00F74577" w:rsidP="002E50E1">
      <w:pPr>
        <w:spacing w:line="480" w:lineRule="auto"/>
        <w:rPr>
          <w:rFonts w:ascii="Cambria" w:hAnsi="Cambria"/>
        </w:rPr>
      </w:pPr>
      <w:r>
        <w:rPr>
          <w:rFonts w:ascii="Cambria" w:hAnsi="Cambria"/>
        </w:rPr>
        <w:t xml:space="preserve">The </w:t>
      </w:r>
      <w:r w:rsidRPr="003A2541">
        <w:rPr>
          <w:rFonts w:ascii="Cambria" w:hAnsi="Cambria"/>
        </w:rPr>
        <w:t>prompt for respondents reads</w:t>
      </w:r>
      <w:r w:rsidR="00E4609E" w:rsidRPr="003A2541">
        <w:rPr>
          <w:rFonts w:ascii="Cambria" w:hAnsi="Cambria"/>
        </w:rPr>
        <w:t>, “treating people fairly relates to race, ethnicity, age, gender, or the severity of the offence</w:t>
      </w:r>
      <w:r w:rsidR="005633E3">
        <w:rPr>
          <w:rFonts w:ascii="Cambria" w:hAnsi="Cambria"/>
        </w:rPr>
        <w:t>”</w:t>
      </w:r>
      <w:r w:rsidR="00E4609E" w:rsidRPr="003A2541">
        <w:rPr>
          <w:rFonts w:ascii="Cambria" w:hAnsi="Cambria"/>
        </w:rPr>
        <w:t>. A</w:t>
      </w:r>
      <w:r w:rsidR="00BE2F00">
        <w:rPr>
          <w:rFonts w:ascii="Cambria" w:hAnsi="Cambria"/>
        </w:rPr>
        <w:t>bout</w:t>
      </w:r>
      <w:r w:rsidR="00E4609E" w:rsidRPr="003A2541">
        <w:rPr>
          <w:rFonts w:ascii="Cambria" w:hAnsi="Cambria"/>
        </w:rPr>
        <w:t xml:space="preserve"> half of online respondents (52%) perceived that the TBPS did a ‘good job’. </w:t>
      </w:r>
      <w:r w:rsidR="002E50E1">
        <w:rPr>
          <w:rFonts w:ascii="Cambria" w:hAnsi="Cambria"/>
        </w:rPr>
        <w:t>I</w:t>
      </w:r>
      <w:r w:rsidR="00E4609E" w:rsidRPr="003A2541">
        <w:rPr>
          <w:rFonts w:ascii="Cambria" w:hAnsi="Cambria"/>
        </w:rPr>
        <w:t xml:space="preserve">n-person respondents (40%) </w:t>
      </w:r>
      <w:r w:rsidR="002E50E1">
        <w:rPr>
          <w:rFonts w:ascii="Cambria" w:hAnsi="Cambria"/>
        </w:rPr>
        <w:t>perceived that TBPS did</w:t>
      </w:r>
      <w:r w:rsidR="00E4609E" w:rsidRPr="003A2541">
        <w:rPr>
          <w:rFonts w:ascii="Cambria" w:hAnsi="Cambria"/>
        </w:rPr>
        <w:t xml:space="preserve"> </w:t>
      </w:r>
      <w:r w:rsidR="00C47553">
        <w:rPr>
          <w:rFonts w:ascii="Cambria" w:hAnsi="Cambria"/>
        </w:rPr>
        <w:t xml:space="preserve">a </w:t>
      </w:r>
      <w:r w:rsidR="00E4609E" w:rsidRPr="003A2541">
        <w:rPr>
          <w:rFonts w:ascii="Cambria" w:hAnsi="Cambria"/>
        </w:rPr>
        <w:t xml:space="preserve">‘poor job’ most frequently. </w:t>
      </w:r>
      <w:r w:rsidR="006A2923">
        <w:rPr>
          <w:rFonts w:ascii="Cambria" w:hAnsi="Cambria"/>
        </w:rPr>
        <w:t xml:space="preserve">Further, </w:t>
      </w:r>
      <w:r w:rsidR="00594F56">
        <w:rPr>
          <w:rFonts w:ascii="Cambria" w:hAnsi="Cambria"/>
        </w:rPr>
        <w:t>10</w:t>
      </w:r>
      <w:r w:rsidR="00F4217E">
        <w:rPr>
          <w:rFonts w:ascii="Cambria" w:hAnsi="Cambria"/>
        </w:rPr>
        <w:t xml:space="preserve">% of online respondents </w:t>
      </w:r>
      <w:r w:rsidR="00286DAF">
        <w:rPr>
          <w:rFonts w:ascii="Cambria" w:hAnsi="Cambria"/>
        </w:rPr>
        <w:t xml:space="preserve">skipped this question and </w:t>
      </w:r>
      <w:r w:rsidR="00594F56">
        <w:rPr>
          <w:rFonts w:ascii="Cambria" w:hAnsi="Cambria"/>
        </w:rPr>
        <w:t>15</w:t>
      </w:r>
      <w:r w:rsidR="00286DAF">
        <w:rPr>
          <w:rFonts w:ascii="Cambria" w:hAnsi="Cambria"/>
        </w:rPr>
        <w:t xml:space="preserve">% of in-person respondents gave no response or did not know. </w:t>
      </w:r>
    </w:p>
    <w:p w14:paraId="266133E2" w14:textId="0ED17C06" w:rsidR="00881A56" w:rsidRPr="00881A56" w:rsidRDefault="00881A56" w:rsidP="005633E3">
      <w:pPr>
        <w:spacing w:line="480" w:lineRule="auto"/>
        <w:rPr>
          <w:rFonts w:ascii="Cambria" w:hAnsi="Cambria"/>
          <w:i/>
        </w:rPr>
      </w:pPr>
      <w:r w:rsidRPr="00881A56">
        <w:rPr>
          <w:rFonts w:ascii="Cambria" w:hAnsi="Cambria"/>
          <w:i/>
        </w:rPr>
        <w:t>Chart 7: Confidence in the TBPS</w:t>
      </w:r>
    </w:p>
    <w:p w14:paraId="43150CBB" w14:textId="5F425BC5" w:rsidR="00881A56" w:rsidRDefault="009E229C" w:rsidP="00E4609E">
      <w:pPr>
        <w:rPr>
          <w:rFonts w:ascii="Cambria" w:hAnsi="Cambria"/>
          <w:i/>
        </w:rPr>
      </w:pPr>
      <w:r>
        <w:rPr>
          <w:noProof/>
        </w:rPr>
        <w:drawing>
          <wp:inline distT="0" distB="0" distL="0" distR="0" wp14:anchorId="0FC7723B" wp14:editId="7175F6DB">
            <wp:extent cx="5303520" cy="2720340"/>
            <wp:effectExtent l="0" t="0" r="11430" b="381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0B9EC8C" w14:textId="77777777" w:rsidR="00881A56" w:rsidRDefault="00881A56" w:rsidP="00E4609E">
      <w:pPr>
        <w:rPr>
          <w:rFonts w:ascii="Cambria" w:hAnsi="Cambria"/>
          <w:i/>
        </w:rPr>
      </w:pPr>
    </w:p>
    <w:p w14:paraId="7C97F933" w14:textId="35EE1C69" w:rsidR="00881A56" w:rsidRPr="00E64F78" w:rsidRDefault="00881A56" w:rsidP="00E64F78">
      <w:pPr>
        <w:spacing w:line="480" w:lineRule="auto"/>
        <w:rPr>
          <w:rFonts w:ascii="Cambria" w:hAnsi="Cambria"/>
        </w:rPr>
      </w:pPr>
      <w:r>
        <w:rPr>
          <w:rFonts w:ascii="Cambria" w:hAnsi="Cambria"/>
        </w:rPr>
        <w:t>Slightly more than half of the online respondents (5</w:t>
      </w:r>
      <w:r w:rsidR="000E06CE">
        <w:rPr>
          <w:rFonts w:ascii="Cambria" w:hAnsi="Cambria"/>
        </w:rPr>
        <w:t>4</w:t>
      </w:r>
      <w:r>
        <w:rPr>
          <w:rFonts w:ascii="Cambria" w:hAnsi="Cambria"/>
        </w:rPr>
        <w:t xml:space="preserve">%) indicated they had ‘a great deal of confidence’ in the Thunder Bay Police Service. </w:t>
      </w:r>
      <w:r w:rsidR="00D378D2">
        <w:rPr>
          <w:rFonts w:ascii="Cambria" w:hAnsi="Cambria"/>
        </w:rPr>
        <w:t>L</w:t>
      </w:r>
      <w:r>
        <w:rPr>
          <w:rFonts w:ascii="Cambria" w:hAnsi="Cambria"/>
        </w:rPr>
        <w:t>ess than half that percentage of in-person respondents (23%) shared this level of confidence</w:t>
      </w:r>
      <w:r w:rsidR="00D378D2">
        <w:rPr>
          <w:rFonts w:ascii="Cambria" w:hAnsi="Cambria"/>
        </w:rPr>
        <w:t>, a difference of 3</w:t>
      </w:r>
      <w:r w:rsidR="00AA385F">
        <w:rPr>
          <w:rFonts w:ascii="Cambria" w:hAnsi="Cambria"/>
        </w:rPr>
        <w:t>1</w:t>
      </w:r>
      <w:r w:rsidR="00D378D2">
        <w:rPr>
          <w:rFonts w:ascii="Cambria" w:hAnsi="Cambria"/>
        </w:rPr>
        <w:t xml:space="preserve"> percentage points</w:t>
      </w:r>
      <w:r>
        <w:rPr>
          <w:rFonts w:ascii="Cambria" w:hAnsi="Cambria"/>
        </w:rPr>
        <w:t>.</w:t>
      </w:r>
      <w:r w:rsidR="00C47553">
        <w:rPr>
          <w:rFonts w:ascii="Cambria" w:hAnsi="Cambria"/>
        </w:rPr>
        <w:t xml:space="preserve"> </w:t>
      </w:r>
      <w:r w:rsidR="00953E41">
        <w:rPr>
          <w:rFonts w:ascii="Cambria" w:hAnsi="Cambria"/>
        </w:rPr>
        <w:t xml:space="preserve">Notably, 9% of online respondents skipped this question and 4% of in-person respondents gave no response or did not know. </w:t>
      </w:r>
    </w:p>
    <w:p w14:paraId="784A2101" w14:textId="11893455" w:rsidR="00E4609E" w:rsidRPr="003A2541" w:rsidRDefault="00E4609E" w:rsidP="00C47553">
      <w:pPr>
        <w:spacing w:line="480" w:lineRule="auto"/>
        <w:ind w:firstLine="720"/>
        <w:rPr>
          <w:rFonts w:ascii="Cambria" w:hAnsi="Cambria"/>
        </w:rPr>
      </w:pPr>
      <w:r w:rsidRPr="003A2541">
        <w:rPr>
          <w:rFonts w:ascii="Cambria" w:hAnsi="Cambria"/>
        </w:rPr>
        <w:t xml:space="preserve">In sum, in-person respondents reported lower levels of trust in the TBPS than online peers, by as </w:t>
      </w:r>
      <w:r w:rsidRPr="002E50E1">
        <w:rPr>
          <w:rFonts w:ascii="Cambria" w:hAnsi="Cambria"/>
        </w:rPr>
        <w:t>much as 33 percentage points for treating people fairly</w:t>
      </w:r>
      <w:r w:rsidRPr="003A2541">
        <w:rPr>
          <w:rFonts w:ascii="Cambria" w:hAnsi="Cambria"/>
        </w:rPr>
        <w:t xml:space="preserve">. </w:t>
      </w:r>
      <w:r w:rsidR="00B95B0A">
        <w:rPr>
          <w:rFonts w:ascii="Cambria" w:hAnsi="Cambria"/>
        </w:rPr>
        <w:t>D</w:t>
      </w:r>
      <w:r w:rsidRPr="003A2541">
        <w:rPr>
          <w:rFonts w:ascii="Cambria" w:hAnsi="Cambria"/>
        </w:rPr>
        <w:t>ifference</w:t>
      </w:r>
      <w:r w:rsidR="00203C89">
        <w:rPr>
          <w:rFonts w:ascii="Cambria" w:hAnsi="Cambria"/>
        </w:rPr>
        <w:t>s</w:t>
      </w:r>
      <w:r w:rsidRPr="003A2541">
        <w:rPr>
          <w:rFonts w:ascii="Cambria" w:hAnsi="Cambria"/>
        </w:rPr>
        <w:t xml:space="preserve"> may be attributed to </w:t>
      </w:r>
      <w:r w:rsidR="00203C89">
        <w:rPr>
          <w:rFonts w:ascii="Cambria" w:hAnsi="Cambria"/>
        </w:rPr>
        <w:t xml:space="preserve">the </w:t>
      </w:r>
      <w:r w:rsidRPr="003A2541">
        <w:rPr>
          <w:rFonts w:ascii="Cambria" w:hAnsi="Cambria"/>
        </w:rPr>
        <w:t>demographic</w:t>
      </w:r>
      <w:r w:rsidR="00203C89">
        <w:rPr>
          <w:rFonts w:ascii="Cambria" w:hAnsi="Cambria"/>
        </w:rPr>
        <w:t xml:space="preserve"> composition of the samples</w:t>
      </w:r>
      <w:r w:rsidRPr="003A2541">
        <w:rPr>
          <w:rFonts w:ascii="Cambria" w:hAnsi="Cambria"/>
        </w:rPr>
        <w:t xml:space="preserve">. </w:t>
      </w:r>
      <w:r w:rsidR="00003769">
        <w:rPr>
          <w:rFonts w:ascii="Cambria" w:hAnsi="Cambria"/>
        </w:rPr>
        <w:t xml:space="preserve">The </w:t>
      </w:r>
      <w:r w:rsidR="00203C89">
        <w:rPr>
          <w:rFonts w:ascii="Cambria" w:hAnsi="Cambria"/>
        </w:rPr>
        <w:t>online sample was older and predominantly identified as White</w:t>
      </w:r>
      <w:r w:rsidR="00B95B0A">
        <w:rPr>
          <w:rFonts w:ascii="Cambria" w:hAnsi="Cambria"/>
        </w:rPr>
        <w:t xml:space="preserve"> while t</w:t>
      </w:r>
      <w:r w:rsidR="00203C89">
        <w:rPr>
          <w:rFonts w:ascii="Cambria" w:hAnsi="Cambria"/>
        </w:rPr>
        <w:t xml:space="preserve">he </w:t>
      </w:r>
      <w:r w:rsidR="00003769">
        <w:rPr>
          <w:rFonts w:ascii="Cambria" w:hAnsi="Cambria"/>
        </w:rPr>
        <w:t>i</w:t>
      </w:r>
      <w:r w:rsidRPr="003A2541">
        <w:rPr>
          <w:rFonts w:ascii="Cambria" w:hAnsi="Cambria"/>
        </w:rPr>
        <w:t>n</w:t>
      </w:r>
      <w:r w:rsidR="00003769">
        <w:rPr>
          <w:rFonts w:ascii="Cambria" w:hAnsi="Cambria"/>
        </w:rPr>
        <w:t>-</w:t>
      </w:r>
      <w:r w:rsidRPr="003A2541">
        <w:rPr>
          <w:rFonts w:ascii="Cambria" w:hAnsi="Cambria"/>
        </w:rPr>
        <w:t xml:space="preserve">person </w:t>
      </w:r>
      <w:r w:rsidR="00003769">
        <w:rPr>
          <w:rFonts w:ascii="Cambria" w:hAnsi="Cambria"/>
        </w:rPr>
        <w:t>sample</w:t>
      </w:r>
      <w:r w:rsidRPr="003A2541">
        <w:rPr>
          <w:rFonts w:ascii="Cambria" w:hAnsi="Cambria"/>
        </w:rPr>
        <w:t xml:space="preserve"> w</w:t>
      </w:r>
      <w:r w:rsidR="00003769">
        <w:rPr>
          <w:rFonts w:ascii="Cambria" w:hAnsi="Cambria"/>
        </w:rPr>
        <w:t xml:space="preserve">as </w:t>
      </w:r>
      <w:r w:rsidRPr="003A2541">
        <w:rPr>
          <w:rFonts w:ascii="Cambria" w:hAnsi="Cambria"/>
        </w:rPr>
        <w:t xml:space="preserve">younger and </w:t>
      </w:r>
      <w:r w:rsidR="00003769">
        <w:rPr>
          <w:rFonts w:ascii="Cambria" w:hAnsi="Cambria"/>
        </w:rPr>
        <w:t xml:space="preserve">had </w:t>
      </w:r>
      <w:r w:rsidR="005633E3">
        <w:rPr>
          <w:rFonts w:ascii="Cambria" w:hAnsi="Cambria"/>
        </w:rPr>
        <w:t>a higher percentage of</w:t>
      </w:r>
      <w:r w:rsidR="00003769">
        <w:rPr>
          <w:rFonts w:ascii="Cambria" w:hAnsi="Cambria"/>
        </w:rPr>
        <w:t xml:space="preserve"> Indigenous respondents</w:t>
      </w:r>
      <w:r w:rsidR="00203C89">
        <w:rPr>
          <w:rFonts w:ascii="Cambria" w:hAnsi="Cambria"/>
        </w:rPr>
        <w:t xml:space="preserve">. Lower trust </w:t>
      </w:r>
      <w:r w:rsidR="005633E3">
        <w:rPr>
          <w:rFonts w:ascii="Cambria" w:hAnsi="Cambria"/>
        </w:rPr>
        <w:t>and confidence in policing are</w:t>
      </w:r>
      <w:r w:rsidR="00203C89">
        <w:rPr>
          <w:rFonts w:ascii="Cambria" w:hAnsi="Cambria"/>
        </w:rPr>
        <w:t xml:space="preserve"> consistent with </w:t>
      </w:r>
      <w:r w:rsidR="005633E3">
        <w:rPr>
          <w:rFonts w:ascii="Cambria" w:hAnsi="Cambria"/>
        </w:rPr>
        <w:t xml:space="preserve">past </w:t>
      </w:r>
      <w:r w:rsidR="00203C89">
        <w:rPr>
          <w:rFonts w:ascii="Cambria" w:hAnsi="Cambria"/>
        </w:rPr>
        <w:t>s</w:t>
      </w:r>
      <w:r w:rsidRPr="003A2541">
        <w:rPr>
          <w:rFonts w:ascii="Cambria" w:hAnsi="Cambria"/>
        </w:rPr>
        <w:t xml:space="preserve">tudies </w:t>
      </w:r>
      <w:r w:rsidR="00B95B0A">
        <w:rPr>
          <w:rFonts w:ascii="Cambria" w:hAnsi="Cambria"/>
        </w:rPr>
        <w:t xml:space="preserve">of younger and Indigenous peoples </w:t>
      </w:r>
      <w:r w:rsidRPr="00D059F6">
        <w:rPr>
          <w:rFonts w:ascii="Cambria" w:hAnsi="Cambria"/>
        </w:rPr>
        <w:t>[</w:t>
      </w:r>
      <w:r w:rsidR="00203C89" w:rsidRPr="00D059F6">
        <w:rPr>
          <w:rFonts w:ascii="Cambria" w:hAnsi="Cambria"/>
        </w:rPr>
        <w:t>1</w:t>
      </w:r>
      <w:r w:rsidR="005633E3" w:rsidRPr="00D059F6">
        <w:rPr>
          <w:rFonts w:ascii="Cambria" w:hAnsi="Cambria"/>
        </w:rPr>
        <w:t>3</w:t>
      </w:r>
      <w:r w:rsidRPr="00D059F6">
        <w:rPr>
          <w:rFonts w:ascii="Cambria" w:hAnsi="Cambria"/>
        </w:rPr>
        <w:t>].</w:t>
      </w:r>
      <w:r w:rsidRPr="003A2541">
        <w:rPr>
          <w:rFonts w:ascii="Cambria" w:hAnsi="Cambria"/>
        </w:rPr>
        <w:t xml:space="preserve"> </w:t>
      </w:r>
      <w:r w:rsidR="000D0E70">
        <w:rPr>
          <w:rFonts w:ascii="Cambria" w:hAnsi="Cambria"/>
        </w:rPr>
        <w:t xml:space="preserve">Importantly, lack of trust and confidence </w:t>
      </w:r>
      <w:r w:rsidR="00B95B0A">
        <w:rPr>
          <w:rFonts w:ascii="Cambria" w:hAnsi="Cambria"/>
        </w:rPr>
        <w:t>may compromise</w:t>
      </w:r>
      <w:r w:rsidRPr="003A2541">
        <w:rPr>
          <w:rFonts w:ascii="Cambria" w:hAnsi="Cambria"/>
        </w:rPr>
        <w:t xml:space="preserve"> delivery of police service</w:t>
      </w:r>
      <w:r w:rsidR="00B95B0A">
        <w:rPr>
          <w:rFonts w:ascii="Cambria" w:hAnsi="Cambria"/>
        </w:rPr>
        <w:t xml:space="preserve">s </w:t>
      </w:r>
      <w:r w:rsidRPr="003A2541">
        <w:rPr>
          <w:rFonts w:ascii="Cambria" w:hAnsi="Cambria"/>
        </w:rPr>
        <w:t>by under-reporting, less cooperation, and perceptions that police officers are indifferent to victims [</w:t>
      </w:r>
      <w:r w:rsidR="002774F5" w:rsidRPr="00652FAE">
        <w:rPr>
          <w:rFonts w:ascii="Cambria" w:hAnsi="Cambria"/>
        </w:rPr>
        <w:t>1</w:t>
      </w:r>
      <w:r w:rsidR="005633E3" w:rsidRPr="00652FAE">
        <w:rPr>
          <w:rFonts w:ascii="Cambria" w:hAnsi="Cambria"/>
        </w:rPr>
        <w:t>4</w:t>
      </w:r>
      <w:r w:rsidRPr="003A2541">
        <w:rPr>
          <w:rFonts w:ascii="Cambria" w:hAnsi="Cambria"/>
        </w:rPr>
        <w:t xml:space="preserve">]. </w:t>
      </w:r>
    </w:p>
    <w:p w14:paraId="4EE118B3" w14:textId="5C6D3E21" w:rsidR="00E4609E" w:rsidRPr="003A2541" w:rsidRDefault="006B563E" w:rsidP="002774F5">
      <w:pPr>
        <w:spacing w:line="480" w:lineRule="auto"/>
        <w:ind w:firstLine="720"/>
        <w:rPr>
          <w:rFonts w:ascii="Cambria" w:hAnsi="Cambria"/>
        </w:rPr>
      </w:pPr>
      <w:r>
        <w:rPr>
          <w:rFonts w:ascii="Cambria" w:hAnsi="Cambria"/>
        </w:rPr>
        <w:t>Potentially, d</w:t>
      </w:r>
      <w:r w:rsidR="00E4609E" w:rsidRPr="003A2541">
        <w:rPr>
          <w:rFonts w:ascii="Cambria" w:hAnsi="Cambria"/>
        </w:rPr>
        <w:t xml:space="preserve">ifferences </w:t>
      </w:r>
      <w:r w:rsidRPr="003A2541">
        <w:rPr>
          <w:rFonts w:ascii="Cambria" w:hAnsi="Cambria"/>
        </w:rPr>
        <w:t>also</w:t>
      </w:r>
      <w:r>
        <w:rPr>
          <w:rFonts w:ascii="Cambria" w:hAnsi="Cambria"/>
        </w:rPr>
        <w:t xml:space="preserve"> </w:t>
      </w:r>
      <w:r w:rsidR="002774F5">
        <w:rPr>
          <w:rFonts w:ascii="Cambria" w:hAnsi="Cambria"/>
        </w:rPr>
        <w:t>may</w:t>
      </w:r>
      <w:r w:rsidR="00E4609E" w:rsidRPr="003A2541">
        <w:rPr>
          <w:rFonts w:ascii="Cambria" w:hAnsi="Cambria"/>
        </w:rPr>
        <w:t xml:space="preserve"> be attributed to TBPS’ relationships with Indigenous communities</w:t>
      </w:r>
      <w:r>
        <w:rPr>
          <w:rFonts w:ascii="Cambria" w:hAnsi="Cambria"/>
        </w:rPr>
        <w:t xml:space="preserve">, which was amplified during the survey </w:t>
      </w:r>
      <w:r w:rsidR="00652FAE">
        <w:rPr>
          <w:rFonts w:ascii="Cambria" w:hAnsi="Cambria"/>
        </w:rPr>
        <w:t xml:space="preserve">period </w:t>
      </w:r>
      <w:r>
        <w:rPr>
          <w:rFonts w:ascii="Cambria" w:hAnsi="Cambria"/>
        </w:rPr>
        <w:t xml:space="preserve">through </w:t>
      </w:r>
      <w:r w:rsidR="00652FAE">
        <w:rPr>
          <w:rFonts w:ascii="Cambria" w:hAnsi="Cambria"/>
        </w:rPr>
        <w:t xml:space="preserve">the release of </w:t>
      </w:r>
      <w:r>
        <w:rPr>
          <w:rFonts w:ascii="Cambria" w:hAnsi="Cambria"/>
        </w:rPr>
        <w:t>two reports</w:t>
      </w:r>
      <w:r w:rsidR="00652FAE">
        <w:rPr>
          <w:rFonts w:ascii="Cambria" w:hAnsi="Cambria"/>
        </w:rPr>
        <w:t xml:space="preserve"> [11, 12]</w:t>
      </w:r>
      <w:r>
        <w:rPr>
          <w:rFonts w:ascii="Cambria" w:hAnsi="Cambria"/>
        </w:rPr>
        <w:t xml:space="preserve">. Both </w:t>
      </w:r>
      <w:r w:rsidR="00652FAE">
        <w:rPr>
          <w:rFonts w:ascii="Cambria" w:hAnsi="Cambria"/>
        </w:rPr>
        <w:t xml:space="preserve">McNeilly and Sinclair </w:t>
      </w:r>
      <w:r w:rsidR="00E4609E" w:rsidRPr="003A2541">
        <w:rPr>
          <w:rFonts w:ascii="Cambria" w:hAnsi="Cambria"/>
        </w:rPr>
        <w:t xml:space="preserve">recommended </w:t>
      </w:r>
      <w:r>
        <w:rPr>
          <w:rFonts w:ascii="Cambria" w:hAnsi="Cambria"/>
        </w:rPr>
        <w:t xml:space="preserve">that the </w:t>
      </w:r>
      <w:r w:rsidR="00E4609E" w:rsidRPr="003A2541">
        <w:rPr>
          <w:rFonts w:ascii="Cambria" w:hAnsi="Cambria"/>
        </w:rPr>
        <w:t xml:space="preserve">TBPS and its Board </w:t>
      </w:r>
      <w:r w:rsidR="00B95B0A">
        <w:rPr>
          <w:rFonts w:ascii="Cambria" w:hAnsi="Cambria"/>
        </w:rPr>
        <w:t>act</w:t>
      </w:r>
      <w:r w:rsidR="00E9363B">
        <w:rPr>
          <w:rFonts w:ascii="Cambria" w:hAnsi="Cambria"/>
        </w:rPr>
        <w:t xml:space="preserve"> to </w:t>
      </w:r>
      <w:r w:rsidR="00652FAE">
        <w:rPr>
          <w:rFonts w:ascii="Cambria" w:hAnsi="Cambria"/>
        </w:rPr>
        <w:t>restore</w:t>
      </w:r>
      <w:r w:rsidR="00E4609E" w:rsidRPr="003A2541">
        <w:rPr>
          <w:rFonts w:ascii="Cambria" w:hAnsi="Cambria"/>
        </w:rPr>
        <w:t xml:space="preserve"> relationships with Indigenous peoples </w:t>
      </w:r>
      <w:r w:rsidR="00B95B0A">
        <w:rPr>
          <w:rFonts w:ascii="Cambria" w:hAnsi="Cambria"/>
        </w:rPr>
        <w:t>of</w:t>
      </w:r>
      <w:r>
        <w:rPr>
          <w:rFonts w:ascii="Cambria" w:hAnsi="Cambria"/>
        </w:rPr>
        <w:t xml:space="preserve"> </w:t>
      </w:r>
      <w:r w:rsidR="00E4609E" w:rsidRPr="003A2541">
        <w:rPr>
          <w:rFonts w:ascii="Cambria" w:hAnsi="Cambria"/>
        </w:rPr>
        <w:t>Thunder Bay and surrounding First Nations communities [</w:t>
      </w:r>
      <w:r w:rsidR="00E9363B" w:rsidRPr="00E9363B">
        <w:rPr>
          <w:rFonts w:ascii="Cambria" w:hAnsi="Cambria"/>
        </w:rPr>
        <w:t>11, 12</w:t>
      </w:r>
      <w:r w:rsidR="00E4609E" w:rsidRPr="003A2541">
        <w:rPr>
          <w:rFonts w:ascii="Cambria" w:hAnsi="Cambria"/>
        </w:rPr>
        <w:t xml:space="preserve">]. </w:t>
      </w:r>
      <w:r w:rsidR="00652FAE">
        <w:rPr>
          <w:rFonts w:ascii="Cambria" w:hAnsi="Cambria"/>
        </w:rPr>
        <w:t xml:space="preserve">The TBPS need to build positive relationships with </w:t>
      </w:r>
      <w:r w:rsidR="00B95B0A">
        <w:rPr>
          <w:rFonts w:ascii="Cambria" w:hAnsi="Cambria"/>
        </w:rPr>
        <w:t>all</w:t>
      </w:r>
      <w:r w:rsidR="00652FAE">
        <w:rPr>
          <w:rFonts w:ascii="Cambria" w:hAnsi="Cambria"/>
        </w:rPr>
        <w:t xml:space="preserve"> groups to restore trust and confidence.</w:t>
      </w:r>
    </w:p>
    <w:p w14:paraId="2C7D7640" w14:textId="4ABEDD8B" w:rsidR="00E4609E" w:rsidRPr="003A2541" w:rsidRDefault="00BE2F00" w:rsidP="00BE2F00">
      <w:pPr>
        <w:spacing w:line="480" w:lineRule="auto"/>
        <w:ind w:firstLine="720"/>
        <w:rPr>
          <w:rFonts w:ascii="Cambria" w:hAnsi="Cambria"/>
        </w:rPr>
      </w:pPr>
      <w:r>
        <w:rPr>
          <w:rFonts w:ascii="Cambria" w:hAnsi="Cambria"/>
        </w:rPr>
        <w:t>Based on the key findings of the 2018 CSS, r</w:t>
      </w:r>
      <w:r w:rsidR="00E4609E" w:rsidRPr="003A2541">
        <w:rPr>
          <w:rFonts w:ascii="Cambria" w:hAnsi="Cambria"/>
        </w:rPr>
        <w:t>esearchers recommend that</w:t>
      </w:r>
      <w:r>
        <w:rPr>
          <w:rFonts w:ascii="Cambria" w:hAnsi="Cambria"/>
        </w:rPr>
        <w:t xml:space="preserve"> the TBPS</w:t>
      </w:r>
      <w:r w:rsidR="00E4609E" w:rsidRPr="003A2541">
        <w:rPr>
          <w:rFonts w:ascii="Cambria" w:hAnsi="Cambria"/>
        </w:rPr>
        <w:t xml:space="preserve">: </w:t>
      </w:r>
    </w:p>
    <w:p w14:paraId="642E4C51" w14:textId="7BC56741" w:rsidR="00E4609E" w:rsidRPr="003A2541" w:rsidRDefault="00E4609E" w:rsidP="00BE2F00">
      <w:pPr>
        <w:spacing w:line="480" w:lineRule="auto"/>
        <w:ind w:firstLine="720"/>
        <w:rPr>
          <w:rFonts w:ascii="Cambria" w:hAnsi="Cambria"/>
        </w:rPr>
      </w:pPr>
      <w:r w:rsidRPr="003A2541">
        <w:rPr>
          <w:rFonts w:ascii="Cambria" w:hAnsi="Cambria"/>
        </w:rPr>
        <w:t xml:space="preserve">1. </w:t>
      </w:r>
      <w:r w:rsidR="00BE2F00">
        <w:rPr>
          <w:rFonts w:ascii="Cambria" w:hAnsi="Cambria"/>
        </w:rPr>
        <w:t>A</w:t>
      </w:r>
      <w:r w:rsidRPr="003A2541">
        <w:rPr>
          <w:rFonts w:ascii="Cambria" w:hAnsi="Cambria"/>
        </w:rPr>
        <w:t xml:space="preserve">dd focus groups with racialized youth </w:t>
      </w:r>
      <w:r w:rsidR="00BE2F00">
        <w:rPr>
          <w:rFonts w:ascii="Cambria" w:hAnsi="Cambria"/>
        </w:rPr>
        <w:t>for</w:t>
      </w:r>
      <w:r w:rsidRPr="003A2541">
        <w:rPr>
          <w:rFonts w:ascii="Cambria" w:hAnsi="Cambria"/>
        </w:rPr>
        <w:t xml:space="preserve"> further insights into how police can enhance trust in policing among youth, particularly racialized youth in the city</w:t>
      </w:r>
      <w:r w:rsidR="002A5365">
        <w:rPr>
          <w:rFonts w:ascii="Cambria" w:hAnsi="Cambria"/>
        </w:rPr>
        <w:t xml:space="preserve">. The </w:t>
      </w:r>
      <w:r w:rsidR="002A5365">
        <w:rPr>
          <w:rFonts w:ascii="Cambria" w:hAnsi="Cambria"/>
        </w:rPr>
        <w:lastRenderedPageBreak/>
        <w:t xml:space="preserve">researchers recommend that the TBPS implement this recommendation in the short-term to gain youth perspective on how to improve relationships with them. </w:t>
      </w:r>
    </w:p>
    <w:p w14:paraId="5F329BD0" w14:textId="04CE55FE" w:rsidR="00E4609E" w:rsidRPr="003A2541" w:rsidRDefault="00E4609E" w:rsidP="00BE2F00">
      <w:pPr>
        <w:spacing w:line="480" w:lineRule="auto"/>
        <w:ind w:firstLine="720"/>
        <w:rPr>
          <w:rFonts w:ascii="Cambria" w:hAnsi="Cambria"/>
        </w:rPr>
      </w:pPr>
      <w:r w:rsidRPr="003A2541">
        <w:rPr>
          <w:rFonts w:ascii="Cambria" w:hAnsi="Cambria"/>
        </w:rPr>
        <w:t xml:space="preserve">2. </w:t>
      </w:r>
      <w:r w:rsidR="00BE2F00">
        <w:rPr>
          <w:rFonts w:ascii="Cambria" w:hAnsi="Cambria"/>
        </w:rPr>
        <w:t>R</w:t>
      </w:r>
      <w:r w:rsidRPr="003A2541">
        <w:rPr>
          <w:rFonts w:ascii="Cambria" w:hAnsi="Cambria"/>
        </w:rPr>
        <w:t xml:space="preserve">epeat </w:t>
      </w:r>
      <w:r w:rsidR="00BE2F00">
        <w:rPr>
          <w:rFonts w:ascii="Cambria" w:hAnsi="Cambria"/>
        </w:rPr>
        <w:t xml:space="preserve">the </w:t>
      </w:r>
      <w:r w:rsidR="00E9363B">
        <w:rPr>
          <w:rFonts w:ascii="Cambria" w:hAnsi="Cambria"/>
        </w:rPr>
        <w:t>2018 CSS</w:t>
      </w:r>
      <w:r w:rsidR="00BE2F00">
        <w:rPr>
          <w:rFonts w:ascii="Cambria" w:hAnsi="Cambria"/>
        </w:rPr>
        <w:t xml:space="preserve"> </w:t>
      </w:r>
      <w:r w:rsidR="00E9363B">
        <w:rPr>
          <w:rFonts w:ascii="Cambria" w:hAnsi="Cambria"/>
        </w:rPr>
        <w:t>again in</w:t>
      </w:r>
      <w:r w:rsidR="00BE2F00">
        <w:rPr>
          <w:rFonts w:ascii="Cambria" w:hAnsi="Cambria"/>
        </w:rPr>
        <w:t xml:space="preserve"> 2019, using </w:t>
      </w:r>
      <w:r w:rsidR="002F5A0D">
        <w:rPr>
          <w:rFonts w:ascii="Cambria" w:hAnsi="Cambria"/>
        </w:rPr>
        <w:t xml:space="preserve">both </w:t>
      </w:r>
      <w:r w:rsidR="00BE2F00">
        <w:rPr>
          <w:rFonts w:ascii="Cambria" w:hAnsi="Cambria"/>
        </w:rPr>
        <w:t xml:space="preserve">online and </w:t>
      </w:r>
      <w:r w:rsidRPr="003A2541">
        <w:rPr>
          <w:rFonts w:ascii="Cambria" w:hAnsi="Cambria"/>
        </w:rPr>
        <w:t>in-person</w:t>
      </w:r>
      <w:r w:rsidR="00BE2F00">
        <w:rPr>
          <w:rFonts w:ascii="Cambria" w:hAnsi="Cambria"/>
        </w:rPr>
        <w:t xml:space="preserve"> </w:t>
      </w:r>
      <w:r w:rsidR="00E9363B">
        <w:rPr>
          <w:rFonts w:ascii="Cambria" w:hAnsi="Cambria"/>
        </w:rPr>
        <w:t>formats</w:t>
      </w:r>
      <w:r w:rsidRPr="003A2541">
        <w:rPr>
          <w:rFonts w:ascii="Cambria" w:hAnsi="Cambria"/>
        </w:rPr>
        <w:t xml:space="preserve"> to see if </w:t>
      </w:r>
      <w:r w:rsidR="00BE2F00">
        <w:rPr>
          <w:rFonts w:ascii="Cambria" w:hAnsi="Cambria"/>
        </w:rPr>
        <w:t xml:space="preserve">similarities and differences </w:t>
      </w:r>
      <w:r w:rsidR="002F5A0D">
        <w:rPr>
          <w:rFonts w:ascii="Cambria" w:hAnsi="Cambria"/>
        </w:rPr>
        <w:t>between</w:t>
      </w:r>
      <w:r w:rsidR="00BE2F00">
        <w:rPr>
          <w:rFonts w:ascii="Cambria" w:hAnsi="Cambria"/>
        </w:rPr>
        <w:t xml:space="preserve"> samples </w:t>
      </w:r>
      <w:r w:rsidR="002F5A0D">
        <w:rPr>
          <w:rFonts w:ascii="Cambria" w:hAnsi="Cambria"/>
        </w:rPr>
        <w:t>remain consistent</w:t>
      </w:r>
      <w:r w:rsidRPr="003A2541">
        <w:rPr>
          <w:rFonts w:ascii="Cambria" w:hAnsi="Cambria"/>
        </w:rPr>
        <w:t xml:space="preserve">. </w:t>
      </w:r>
      <w:r w:rsidR="00010049">
        <w:rPr>
          <w:rFonts w:ascii="Cambria" w:hAnsi="Cambria"/>
        </w:rPr>
        <w:t xml:space="preserve">A 2019 CSS also will allow for comparison </w:t>
      </w:r>
      <w:r w:rsidR="00E9363B">
        <w:rPr>
          <w:rFonts w:ascii="Cambria" w:hAnsi="Cambria"/>
        </w:rPr>
        <w:t xml:space="preserve">nationally </w:t>
      </w:r>
      <w:r w:rsidR="00010049">
        <w:rPr>
          <w:rFonts w:ascii="Cambria" w:hAnsi="Cambria"/>
        </w:rPr>
        <w:t xml:space="preserve">to </w:t>
      </w:r>
      <w:r w:rsidR="00E9363B">
        <w:rPr>
          <w:rFonts w:ascii="Cambria" w:hAnsi="Cambria"/>
        </w:rPr>
        <w:t xml:space="preserve">the </w:t>
      </w:r>
      <w:r w:rsidR="00010049">
        <w:rPr>
          <w:rFonts w:ascii="Cambria" w:hAnsi="Cambria"/>
        </w:rPr>
        <w:t xml:space="preserve">GSS (2019) on </w:t>
      </w:r>
      <w:r w:rsidR="00E9363B">
        <w:rPr>
          <w:rFonts w:ascii="Cambria" w:hAnsi="Cambria"/>
        </w:rPr>
        <w:t>V</w:t>
      </w:r>
      <w:r w:rsidR="00010049">
        <w:rPr>
          <w:rFonts w:ascii="Cambria" w:hAnsi="Cambria"/>
        </w:rPr>
        <w:t xml:space="preserve">ictimization and </w:t>
      </w:r>
      <w:r w:rsidR="00E9363B">
        <w:rPr>
          <w:rFonts w:ascii="Cambria" w:hAnsi="Cambria"/>
        </w:rPr>
        <w:t>RPS’ CSS</w:t>
      </w:r>
      <w:r w:rsidR="00010049">
        <w:rPr>
          <w:rFonts w:ascii="Cambria" w:hAnsi="Cambria"/>
        </w:rPr>
        <w:t xml:space="preserve">. </w:t>
      </w:r>
      <w:r w:rsidR="002A5365">
        <w:rPr>
          <w:rFonts w:ascii="Cambria" w:hAnsi="Cambria"/>
        </w:rPr>
        <w:t xml:space="preserve">The researchers recommend that the TBPS implement this recommendation </w:t>
      </w:r>
      <w:r w:rsidR="00E9363B">
        <w:rPr>
          <w:rFonts w:ascii="Cambria" w:hAnsi="Cambria"/>
        </w:rPr>
        <w:t>within the year</w:t>
      </w:r>
      <w:r w:rsidR="002A5365">
        <w:rPr>
          <w:rFonts w:ascii="Cambria" w:hAnsi="Cambria"/>
        </w:rPr>
        <w:t xml:space="preserve">, </w:t>
      </w:r>
      <w:r w:rsidR="00E9363B">
        <w:rPr>
          <w:rFonts w:ascii="Cambria" w:hAnsi="Cambria"/>
        </w:rPr>
        <w:t>conducting</w:t>
      </w:r>
      <w:r w:rsidR="002A5365">
        <w:rPr>
          <w:rFonts w:ascii="Cambria" w:hAnsi="Cambria"/>
        </w:rPr>
        <w:t xml:space="preserve"> the </w:t>
      </w:r>
      <w:r w:rsidR="00E9363B">
        <w:rPr>
          <w:rFonts w:ascii="Cambria" w:hAnsi="Cambria"/>
        </w:rPr>
        <w:t>CSS</w:t>
      </w:r>
      <w:r w:rsidR="002A5365">
        <w:rPr>
          <w:rFonts w:ascii="Cambria" w:hAnsi="Cambria"/>
        </w:rPr>
        <w:t xml:space="preserve"> in fall 2019 with a larger sample of</w:t>
      </w:r>
      <w:r w:rsidR="002A5365" w:rsidRPr="002A5365">
        <w:rPr>
          <w:rFonts w:ascii="Cambria" w:hAnsi="Cambria"/>
        </w:rPr>
        <w:t xml:space="preserve"> </w:t>
      </w:r>
      <w:r w:rsidR="002A5365">
        <w:rPr>
          <w:rFonts w:ascii="Cambria" w:hAnsi="Cambria"/>
        </w:rPr>
        <w:t xml:space="preserve">in-person respondents. </w:t>
      </w:r>
    </w:p>
    <w:p w14:paraId="12E7FE91" w14:textId="1753BCB6" w:rsidR="00F120B9" w:rsidRDefault="00E4609E" w:rsidP="00B95B0A">
      <w:pPr>
        <w:spacing w:line="480" w:lineRule="auto"/>
        <w:ind w:firstLine="720"/>
        <w:rPr>
          <w:rFonts w:ascii="Cambria" w:hAnsi="Cambria"/>
        </w:rPr>
      </w:pPr>
      <w:r w:rsidRPr="003A2541">
        <w:rPr>
          <w:rFonts w:ascii="Cambria" w:hAnsi="Cambria"/>
        </w:rPr>
        <w:t xml:space="preserve">3. </w:t>
      </w:r>
      <w:r w:rsidR="002F5A0D">
        <w:rPr>
          <w:rFonts w:ascii="Cambria" w:hAnsi="Cambria"/>
        </w:rPr>
        <w:t>R</w:t>
      </w:r>
      <w:r w:rsidRPr="003A2541">
        <w:rPr>
          <w:rFonts w:ascii="Cambria" w:hAnsi="Cambria"/>
        </w:rPr>
        <w:t>each out to organizations to advertise the CSS to more citizens as well as regular visitors to Thunder Bay to gain a more representative sample of respondents to the online survey</w:t>
      </w:r>
      <w:r w:rsidR="00CE3197">
        <w:rPr>
          <w:rFonts w:ascii="Cambria" w:hAnsi="Cambria"/>
        </w:rPr>
        <w:t>—</w:t>
      </w:r>
      <w:r w:rsidRPr="003A2541">
        <w:rPr>
          <w:rFonts w:ascii="Cambria" w:hAnsi="Cambria"/>
        </w:rPr>
        <w:t>in</w:t>
      </w:r>
      <w:r w:rsidR="00CE3197">
        <w:rPr>
          <w:rFonts w:ascii="Cambria" w:hAnsi="Cambria"/>
        </w:rPr>
        <w:t>-</w:t>
      </w:r>
      <w:r w:rsidRPr="003A2541">
        <w:rPr>
          <w:rFonts w:ascii="Cambria" w:hAnsi="Cambria"/>
        </w:rPr>
        <w:t xml:space="preserve">person surveys are expensive and time consuming. </w:t>
      </w:r>
      <w:r w:rsidR="002A5365">
        <w:rPr>
          <w:rFonts w:ascii="Cambria" w:hAnsi="Cambria"/>
        </w:rPr>
        <w:t xml:space="preserve">The researchers recommend that the TBPS implement this recommendation in the long-term. The researchers further recommend that the TBPS start reaching out in the short term and </w:t>
      </w:r>
      <w:r w:rsidR="0067128C">
        <w:rPr>
          <w:rFonts w:ascii="Cambria" w:hAnsi="Cambria"/>
        </w:rPr>
        <w:t>employ</w:t>
      </w:r>
      <w:r w:rsidR="002A5365">
        <w:rPr>
          <w:rFonts w:ascii="Cambria" w:hAnsi="Cambria"/>
        </w:rPr>
        <w:t xml:space="preserve"> </w:t>
      </w:r>
      <w:r w:rsidR="0067128C">
        <w:rPr>
          <w:rFonts w:ascii="Cambria" w:hAnsi="Cambria"/>
        </w:rPr>
        <w:t>relational</w:t>
      </w:r>
      <w:r w:rsidR="002A5365">
        <w:rPr>
          <w:rFonts w:ascii="Cambria" w:hAnsi="Cambria"/>
        </w:rPr>
        <w:t xml:space="preserve"> approaches to </w:t>
      </w:r>
      <w:r w:rsidR="0067128C">
        <w:rPr>
          <w:rFonts w:ascii="Cambria" w:hAnsi="Cambria"/>
        </w:rPr>
        <w:t xml:space="preserve">invite diverse respondents to the CSS. A greater diversity of respondents will reflect the community </w:t>
      </w:r>
      <w:r w:rsidR="00C85BC3">
        <w:rPr>
          <w:rFonts w:ascii="Cambria" w:hAnsi="Cambria"/>
        </w:rPr>
        <w:t xml:space="preserve">more accurately </w:t>
      </w:r>
      <w:r w:rsidR="0067128C">
        <w:rPr>
          <w:rFonts w:ascii="Cambria" w:hAnsi="Cambria"/>
        </w:rPr>
        <w:t>and</w:t>
      </w:r>
      <w:r w:rsidR="00C85BC3">
        <w:rPr>
          <w:rFonts w:ascii="Cambria" w:hAnsi="Cambria"/>
        </w:rPr>
        <w:t xml:space="preserve"> offer broader perspectives. </w:t>
      </w:r>
    </w:p>
    <w:p w14:paraId="35DC9396" w14:textId="5E8A6C1B" w:rsidR="00F120B9" w:rsidRPr="00881A56" w:rsidRDefault="00881A56" w:rsidP="00881A56">
      <w:pPr>
        <w:rPr>
          <w:rFonts w:ascii="Cambria" w:hAnsi="Cambria"/>
        </w:rPr>
      </w:pPr>
      <w:r>
        <w:rPr>
          <w:rFonts w:ascii="Cambria" w:hAnsi="Cambria"/>
        </w:rPr>
        <w:br w:type="page"/>
      </w:r>
    </w:p>
    <w:p w14:paraId="50DF062A" w14:textId="691DC35C" w:rsidR="00064C7B" w:rsidRPr="00C13B80" w:rsidRDefault="00064C7B" w:rsidP="00064C7B">
      <w:pPr>
        <w:spacing w:line="480" w:lineRule="auto"/>
        <w:ind w:firstLine="720"/>
        <w:jc w:val="center"/>
        <w:rPr>
          <w:rFonts w:ascii="Cambria" w:hAnsi="Cambria"/>
          <w:b/>
        </w:rPr>
      </w:pPr>
      <w:r w:rsidRPr="00C13B80">
        <w:rPr>
          <w:rFonts w:ascii="Cambria" w:hAnsi="Cambria"/>
          <w:b/>
        </w:rPr>
        <w:lastRenderedPageBreak/>
        <w:t>Notes</w:t>
      </w:r>
    </w:p>
    <w:p w14:paraId="51D3ECAF" w14:textId="49AD3F37" w:rsidR="00D54F65" w:rsidRPr="00233666" w:rsidRDefault="00064C7B" w:rsidP="00652FAE">
      <w:pPr>
        <w:spacing w:line="480" w:lineRule="auto"/>
        <w:rPr>
          <w:rFonts w:ascii="Cambria" w:hAnsi="Cambria"/>
          <w:sz w:val="22"/>
          <w:szCs w:val="22"/>
        </w:rPr>
      </w:pPr>
      <w:r w:rsidRPr="00233666">
        <w:rPr>
          <w:rFonts w:ascii="Cambria" w:hAnsi="Cambria"/>
          <w:sz w:val="22"/>
          <w:szCs w:val="22"/>
        </w:rPr>
        <w:t xml:space="preserve">[1] </w:t>
      </w:r>
      <w:r w:rsidR="00D54F65" w:rsidRPr="00233666">
        <w:rPr>
          <w:rFonts w:ascii="Cambria" w:hAnsi="Cambria"/>
          <w:sz w:val="22"/>
          <w:szCs w:val="22"/>
        </w:rPr>
        <w:t xml:space="preserve">Thunder Bay Police Service (2014). Community Satisfaction Survey. </w:t>
      </w:r>
      <w:r w:rsidR="00B61028">
        <w:rPr>
          <w:rFonts w:ascii="Cambria" w:hAnsi="Cambria"/>
          <w:sz w:val="22"/>
          <w:szCs w:val="22"/>
        </w:rPr>
        <w:t>Personal communication.</w:t>
      </w:r>
    </w:p>
    <w:p w14:paraId="11609357" w14:textId="4AECD74F" w:rsidR="00064C7B" w:rsidRPr="00233666" w:rsidRDefault="00D54F65" w:rsidP="0055382B">
      <w:pPr>
        <w:spacing w:line="480" w:lineRule="auto"/>
        <w:rPr>
          <w:rFonts w:ascii="Cambria" w:hAnsi="Cambria"/>
          <w:sz w:val="22"/>
          <w:szCs w:val="22"/>
        </w:rPr>
      </w:pPr>
      <w:r w:rsidRPr="00233666">
        <w:rPr>
          <w:rFonts w:ascii="Cambria" w:hAnsi="Cambria"/>
          <w:sz w:val="22"/>
          <w:szCs w:val="22"/>
        </w:rPr>
        <w:t xml:space="preserve">Thunder Bay Police Service (2016). Community Satisfaction Survey. </w:t>
      </w:r>
      <w:r w:rsidR="00B61028">
        <w:rPr>
          <w:rFonts w:ascii="Cambria" w:hAnsi="Cambria"/>
          <w:sz w:val="22"/>
          <w:szCs w:val="22"/>
        </w:rPr>
        <w:t xml:space="preserve">Personal communication. </w:t>
      </w:r>
    </w:p>
    <w:p w14:paraId="209C709B" w14:textId="111CF8F4" w:rsidR="00064C7B" w:rsidRPr="00233666" w:rsidRDefault="00064C7B" w:rsidP="00652FAE">
      <w:pPr>
        <w:spacing w:line="480" w:lineRule="auto"/>
        <w:rPr>
          <w:rFonts w:ascii="Cambria" w:hAnsi="Cambria"/>
          <w:sz w:val="22"/>
          <w:szCs w:val="22"/>
        </w:rPr>
      </w:pPr>
      <w:r w:rsidRPr="00233666">
        <w:rPr>
          <w:rFonts w:ascii="Cambria" w:hAnsi="Cambria"/>
          <w:sz w:val="22"/>
          <w:szCs w:val="22"/>
        </w:rPr>
        <w:t>[2]</w:t>
      </w:r>
      <w:r w:rsidR="00D54F65" w:rsidRPr="00233666">
        <w:rPr>
          <w:rFonts w:ascii="Cambria" w:hAnsi="Cambria"/>
          <w:sz w:val="22"/>
          <w:szCs w:val="22"/>
        </w:rPr>
        <w:t xml:space="preserve"> </w:t>
      </w:r>
      <w:r w:rsidR="003129F8" w:rsidRPr="00233666">
        <w:rPr>
          <w:rFonts w:ascii="Cambria" w:hAnsi="Cambria"/>
          <w:sz w:val="22"/>
          <w:szCs w:val="22"/>
        </w:rPr>
        <w:t xml:space="preserve">The TBPS advertised its CSS through the following media outlets: Chronicle Journal, </w:t>
      </w:r>
      <w:proofErr w:type="spellStart"/>
      <w:r w:rsidR="003129F8" w:rsidRPr="00233666">
        <w:rPr>
          <w:rFonts w:ascii="Cambria" w:hAnsi="Cambria"/>
          <w:sz w:val="22"/>
          <w:szCs w:val="22"/>
        </w:rPr>
        <w:t>Wawatay</w:t>
      </w:r>
      <w:proofErr w:type="spellEnd"/>
      <w:r w:rsidR="003129F8" w:rsidRPr="00233666">
        <w:rPr>
          <w:rFonts w:ascii="Cambria" w:hAnsi="Cambria"/>
          <w:sz w:val="22"/>
          <w:szCs w:val="22"/>
        </w:rPr>
        <w:t xml:space="preserve"> Communication Society, Acadia Broadcasting, and </w:t>
      </w:r>
      <w:proofErr w:type="spellStart"/>
      <w:proofErr w:type="gramStart"/>
      <w:r w:rsidR="003129F8" w:rsidRPr="00233666">
        <w:rPr>
          <w:rFonts w:ascii="Cambria" w:hAnsi="Cambria"/>
          <w:sz w:val="22"/>
          <w:szCs w:val="22"/>
        </w:rPr>
        <w:t>T.Bay</w:t>
      </w:r>
      <w:proofErr w:type="spellEnd"/>
      <w:proofErr w:type="gramEnd"/>
      <w:r w:rsidR="003129F8" w:rsidRPr="00233666">
        <w:rPr>
          <w:rFonts w:ascii="Cambria" w:hAnsi="Cambria"/>
          <w:sz w:val="22"/>
          <w:szCs w:val="22"/>
        </w:rPr>
        <w:t xml:space="preserve"> Post Inc. </w:t>
      </w:r>
    </w:p>
    <w:p w14:paraId="08841A6C" w14:textId="5312F6AC" w:rsidR="00064C7B" w:rsidRPr="00233666" w:rsidRDefault="00064C7B" w:rsidP="00652FAE">
      <w:pPr>
        <w:spacing w:line="480" w:lineRule="auto"/>
        <w:rPr>
          <w:rFonts w:ascii="Cambria" w:hAnsi="Cambria"/>
          <w:sz w:val="22"/>
          <w:szCs w:val="22"/>
        </w:rPr>
      </w:pPr>
      <w:r w:rsidRPr="00233666">
        <w:rPr>
          <w:rFonts w:ascii="Cambria" w:hAnsi="Cambria"/>
          <w:sz w:val="22"/>
          <w:szCs w:val="22"/>
        </w:rPr>
        <w:t>[3]</w:t>
      </w:r>
      <w:r w:rsidR="003B0848" w:rsidRPr="00233666">
        <w:rPr>
          <w:rFonts w:ascii="Cambria" w:hAnsi="Cambria"/>
          <w:sz w:val="22"/>
          <w:szCs w:val="22"/>
        </w:rPr>
        <w:t xml:space="preserve"> Census data </w:t>
      </w:r>
      <w:r w:rsidR="00576672">
        <w:rPr>
          <w:rFonts w:ascii="Cambria" w:hAnsi="Cambria"/>
          <w:sz w:val="22"/>
          <w:szCs w:val="22"/>
        </w:rPr>
        <w:t xml:space="preserve">(2016) </w:t>
      </w:r>
      <w:r w:rsidR="003B0848" w:rsidRPr="00233666">
        <w:rPr>
          <w:rFonts w:ascii="Cambria" w:hAnsi="Cambria"/>
          <w:sz w:val="22"/>
          <w:szCs w:val="22"/>
        </w:rPr>
        <w:t xml:space="preserve">for </w:t>
      </w:r>
      <w:r w:rsidR="00576672">
        <w:rPr>
          <w:rFonts w:ascii="Cambria" w:hAnsi="Cambria"/>
          <w:sz w:val="22"/>
          <w:szCs w:val="22"/>
        </w:rPr>
        <w:t xml:space="preserve">Ontario shows that </w:t>
      </w:r>
      <w:r w:rsidR="0055382B" w:rsidRPr="00233666">
        <w:rPr>
          <w:rFonts w:ascii="Cambria" w:hAnsi="Cambria"/>
          <w:sz w:val="22"/>
          <w:szCs w:val="22"/>
        </w:rPr>
        <w:t xml:space="preserve">Thunder Bay </w:t>
      </w:r>
      <w:r w:rsidR="00576672">
        <w:rPr>
          <w:rFonts w:ascii="Cambria" w:hAnsi="Cambria"/>
          <w:sz w:val="22"/>
          <w:szCs w:val="22"/>
        </w:rPr>
        <w:t xml:space="preserve">has the highest population of Aboriginal peoples (12.7%) in Ontario. </w:t>
      </w:r>
    </w:p>
    <w:p w14:paraId="035D8E9D" w14:textId="4B1337EE" w:rsidR="00064C7B" w:rsidRPr="00233666" w:rsidRDefault="00064C7B" w:rsidP="00652FAE">
      <w:pPr>
        <w:spacing w:line="480" w:lineRule="auto"/>
        <w:rPr>
          <w:rFonts w:ascii="Cambria" w:hAnsi="Cambria" w:cs="Calibri"/>
          <w:color w:val="222222"/>
          <w:sz w:val="22"/>
          <w:szCs w:val="22"/>
          <w:lang w:val="en-US" w:eastAsia="en-CA"/>
        </w:rPr>
      </w:pPr>
      <w:r w:rsidRPr="00233666">
        <w:rPr>
          <w:rFonts w:ascii="Cambria" w:hAnsi="Cambria"/>
          <w:sz w:val="22"/>
          <w:szCs w:val="22"/>
        </w:rPr>
        <w:t>[4]</w:t>
      </w:r>
      <w:r w:rsidR="0055382B" w:rsidRPr="00233666">
        <w:rPr>
          <w:rFonts w:ascii="Cambria" w:hAnsi="Cambria"/>
          <w:sz w:val="22"/>
          <w:szCs w:val="22"/>
        </w:rPr>
        <w:t xml:space="preserve"> </w:t>
      </w:r>
      <w:r w:rsidR="00C13B80" w:rsidRPr="00233666">
        <w:rPr>
          <w:rFonts w:ascii="Cambria" w:hAnsi="Cambria"/>
          <w:sz w:val="22"/>
          <w:szCs w:val="22"/>
        </w:rPr>
        <w:t xml:space="preserve">The age ranges for the 2014 </w:t>
      </w:r>
      <w:r w:rsidR="00DB768B" w:rsidRPr="00233666">
        <w:rPr>
          <w:rFonts w:ascii="Cambria" w:hAnsi="Cambria"/>
          <w:sz w:val="22"/>
          <w:szCs w:val="22"/>
        </w:rPr>
        <w:t xml:space="preserve">and 2016 </w:t>
      </w:r>
      <w:r w:rsidR="00C13B80" w:rsidRPr="00233666">
        <w:rPr>
          <w:rFonts w:ascii="Cambria" w:hAnsi="Cambria"/>
          <w:sz w:val="22"/>
          <w:szCs w:val="22"/>
        </w:rPr>
        <w:t>CSS were 13-17 years</w:t>
      </w:r>
      <w:r w:rsidR="00847972" w:rsidRPr="00233666">
        <w:rPr>
          <w:rFonts w:ascii="Cambria" w:hAnsi="Cambria"/>
          <w:sz w:val="22"/>
          <w:szCs w:val="22"/>
        </w:rPr>
        <w:t>,</w:t>
      </w:r>
      <w:r w:rsidR="00C13B80" w:rsidRPr="00233666">
        <w:rPr>
          <w:rFonts w:ascii="Cambria" w:hAnsi="Cambria"/>
          <w:sz w:val="22"/>
          <w:szCs w:val="22"/>
        </w:rPr>
        <w:t xml:space="preserve"> 18-40 years</w:t>
      </w:r>
      <w:r w:rsidR="00847972" w:rsidRPr="00233666">
        <w:rPr>
          <w:rFonts w:ascii="Cambria" w:hAnsi="Cambria"/>
          <w:sz w:val="22"/>
          <w:szCs w:val="22"/>
        </w:rPr>
        <w:t>,</w:t>
      </w:r>
      <w:r w:rsidR="00C13B80" w:rsidRPr="00233666">
        <w:rPr>
          <w:rFonts w:ascii="Cambria" w:hAnsi="Cambria"/>
          <w:sz w:val="22"/>
          <w:szCs w:val="22"/>
        </w:rPr>
        <w:t xml:space="preserve"> 41-65 years</w:t>
      </w:r>
      <w:r w:rsidR="00847972" w:rsidRPr="00233666">
        <w:rPr>
          <w:rFonts w:ascii="Cambria" w:hAnsi="Cambria"/>
          <w:sz w:val="22"/>
          <w:szCs w:val="22"/>
        </w:rPr>
        <w:t>, and</w:t>
      </w:r>
      <w:r w:rsidR="00C13B80" w:rsidRPr="00233666">
        <w:rPr>
          <w:rFonts w:ascii="Cambria" w:hAnsi="Cambria"/>
          <w:sz w:val="22"/>
          <w:szCs w:val="22"/>
        </w:rPr>
        <w:t xml:space="preserve"> </w:t>
      </w:r>
      <w:r w:rsidR="00DB768B" w:rsidRPr="00233666">
        <w:rPr>
          <w:rFonts w:ascii="Cambria" w:hAnsi="Cambria"/>
          <w:sz w:val="22"/>
          <w:szCs w:val="22"/>
        </w:rPr>
        <w:t xml:space="preserve">65 up. </w:t>
      </w:r>
      <w:r w:rsidR="00847972" w:rsidRPr="00233666">
        <w:rPr>
          <w:rFonts w:ascii="Cambria" w:hAnsi="Cambria"/>
          <w:sz w:val="22"/>
          <w:szCs w:val="22"/>
        </w:rPr>
        <w:t xml:space="preserve">For the 2018 CSS the age ranges were adjusted to </w:t>
      </w:r>
      <w:r w:rsidR="00847972" w:rsidRPr="00233666">
        <w:rPr>
          <w:rFonts w:ascii="Cambria" w:hAnsi="Cambria" w:cs="Calibri"/>
          <w:color w:val="222222"/>
          <w:sz w:val="22"/>
          <w:szCs w:val="22"/>
          <w:lang w:val="en-US" w:eastAsia="en-CA"/>
        </w:rPr>
        <w:t xml:space="preserve">18-24 years, 25-30 years, 35-44 years, 45-54 years, 65-74 years, over 75 years. The Research Ethics Boards </w:t>
      </w:r>
      <w:r w:rsidR="007148F1" w:rsidRPr="00233666">
        <w:rPr>
          <w:rFonts w:ascii="Cambria" w:hAnsi="Cambria" w:cs="Calibri"/>
          <w:color w:val="222222"/>
          <w:sz w:val="22"/>
          <w:szCs w:val="22"/>
          <w:lang w:val="en-US" w:eastAsia="en-CA"/>
        </w:rPr>
        <w:t xml:space="preserve">at Lakehead University </w:t>
      </w:r>
      <w:r w:rsidR="00847972" w:rsidRPr="00233666">
        <w:rPr>
          <w:rFonts w:ascii="Cambria" w:hAnsi="Cambria" w:cs="Calibri"/>
          <w:color w:val="222222"/>
          <w:sz w:val="22"/>
          <w:szCs w:val="22"/>
          <w:lang w:val="en-US" w:eastAsia="en-CA"/>
        </w:rPr>
        <w:t>require</w:t>
      </w:r>
      <w:r w:rsidR="00233666">
        <w:rPr>
          <w:rFonts w:ascii="Cambria" w:hAnsi="Cambria" w:cs="Calibri"/>
          <w:color w:val="222222"/>
          <w:lang w:val="en-US" w:eastAsia="en-CA"/>
        </w:rPr>
        <w:t>s</w:t>
      </w:r>
      <w:r w:rsidR="00847972" w:rsidRPr="00233666">
        <w:rPr>
          <w:rFonts w:ascii="Cambria" w:hAnsi="Cambria" w:cs="Calibri"/>
          <w:color w:val="222222"/>
          <w:sz w:val="22"/>
          <w:szCs w:val="22"/>
          <w:lang w:val="en-US" w:eastAsia="en-CA"/>
        </w:rPr>
        <w:t xml:space="preserve"> that survey respondents </w:t>
      </w:r>
      <w:r w:rsidR="00233666">
        <w:rPr>
          <w:rFonts w:ascii="Cambria" w:hAnsi="Cambria" w:cs="Calibri"/>
          <w:color w:val="222222"/>
          <w:lang w:val="en-US" w:eastAsia="en-CA"/>
        </w:rPr>
        <w:t>are</w:t>
      </w:r>
      <w:r w:rsidR="007148F1" w:rsidRPr="00233666">
        <w:rPr>
          <w:rFonts w:ascii="Cambria" w:hAnsi="Cambria" w:cs="Calibri"/>
          <w:color w:val="222222"/>
          <w:sz w:val="22"/>
          <w:szCs w:val="22"/>
          <w:lang w:val="en-US" w:eastAsia="en-CA"/>
        </w:rPr>
        <w:t xml:space="preserve"> 18 years </w:t>
      </w:r>
      <w:r w:rsidR="00233666">
        <w:rPr>
          <w:rFonts w:ascii="Cambria" w:hAnsi="Cambria" w:cs="Calibri"/>
          <w:color w:val="222222"/>
          <w:lang w:val="en-US" w:eastAsia="en-CA"/>
        </w:rPr>
        <w:t xml:space="preserve">or </w:t>
      </w:r>
      <w:r w:rsidR="007148F1" w:rsidRPr="00233666">
        <w:rPr>
          <w:rFonts w:ascii="Cambria" w:hAnsi="Cambria" w:cs="Calibri"/>
          <w:color w:val="222222"/>
          <w:sz w:val="22"/>
          <w:szCs w:val="22"/>
          <w:lang w:val="en-US" w:eastAsia="en-CA"/>
        </w:rPr>
        <w:t>old</w:t>
      </w:r>
      <w:r w:rsidR="00233666">
        <w:rPr>
          <w:rFonts w:ascii="Cambria" w:hAnsi="Cambria" w:cs="Calibri"/>
          <w:color w:val="222222"/>
          <w:lang w:val="en-US" w:eastAsia="en-CA"/>
        </w:rPr>
        <w:t>er. I</w:t>
      </w:r>
      <w:r w:rsidR="007148F1" w:rsidRPr="00233666">
        <w:rPr>
          <w:rFonts w:ascii="Cambria" w:hAnsi="Cambria" w:cs="Calibri"/>
          <w:color w:val="222222"/>
          <w:sz w:val="22"/>
          <w:szCs w:val="22"/>
          <w:lang w:val="en-US" w:eastAsia="en-CA"/>
        </w:rPr>
        <w:t xml:space="preserve">f younger, they </w:t>
      </w:r>
      <w:r w:rsidR="00233666">
        <w:rPr>
          <w:rFonts w:ascii="Cambria" w:hAnsi="Cambria" w:cs="Calibri"/>
          <w:color w:val="222222"/>
          <w:lang w:val="en-US" w:eastAsia="en-CA"/>
        </w:rPr>
        <w:t>need</w:t>
      </w:r>
      <w:r w:rsidR="007148F1" w:rsidRPr="00233666">
        <w:rPr>
          <w:rFonts w:ascii="Cambria" w:hAnsi="Cambria" w:cs="Calibri"/>
          <w:color w:val="222222"/>
          <w:sz w:val="22"/>
          <w:szCs w:val="22"/>
          <w:lang w:val="en-US" w:eastAsia="en-CA"/>
        </w:rPr>
        <w:t xml:space="preserve"> consent from parents or guardians. This study allowed respondents </w:t>
      </w:r>
      <w:r w:rsidR="00233666">
        <w:rPr>
          <w:rFonts w:ascii="Cambria" w:hAnsi="Cambria" w:cs="Calibri"/>
          <w:color w:val="222222"/>
          <w:lang w:val="en-US" w:eastAsia="en-CA"/>
        </w:rPr>
        <w:t xml:space="preserve">aged </w:t>
      </w:r>
      <w:r w:rsidR="007148F1" w:rsidRPr="00233666">
        <w:rPr>
          <w:rFonts w:ascii="Cambria" w:hAnsi="Cambria" w:cs="Calibri"/>
          <w:color w:val="222222"/>
          <w:sz w:val="22"/>
          <w:szCs w:val="22"/>
          <w:lang w:val="en-US" w:eastAsia="en-CA"/>
        </w:rPr>
        <w:t xml:space="preserve">18 </w:t>
      </w:r>
      <w:r w:rsidR="00233666">
        <w:rPr>
          <w:rFonts w:ascii="Cambria" w:hAnsi="Cambria" w:cs="Calibri"/>
          <w:color w:val="222222"/>
          <w:lang w:val="en-US" w:eastAsia="en-CA"/>
        </w:rPr>
        <w:t>or older</w:t>
      </w:r>
      <w:r w:rsidR="007148F1" w:rsidRPr="00233666">
        <w:rPr>
          <w:rFonts w:ascii="Cambria" w:hAnsi="Cambria" w:cs="Calibri"/>
          <w:color w:val="222222"/>
          <w:sz w:val="22"/>
          <w:szCs w:val="22"/>
          <w:lang w:val="en-US" w:eastAsia="en-CA"/>
        </w:rPr>
        <w:t xml:space="preserve">. </w:t>
      </w:r>
    </w:p>
    <w:p w14:paraId="1F73A7BB" w14:textId="436C72A8" w:rsidR="000517C0" w:rsidRPr="00233666" w:rsidRDefault="000517C0" w:rsidP="00652FAE">
      <w:pPr>
        <w:spacing w:line="480" w:lineRule="auto"/>
        <w:rPr>
          <w:rFonts w:ascii="Cambria" w:hAnsi="Cambria"/>
          <w:sz w:val="22"/>
          <w:szCs w:val="22"/>
        </w:rPr>
      </w:pPr>
      <w:r w:rsidRPr="00233666">
        <w:rPr>
          <w:rFonts w:ascii="Cambria" w:hAnsi="Cambria"/>
          <w:sz w:val="22"/>
          <w:szCs w:val="22"/>
        </w:rPr>
        <w:t xml:space="preserve">[5] In 2011, Drs. Ruddell and Jones of the Department of Justice Studies at the University of Regina </w:t>
      </w:r>
      <w:r w:rsidR="003C3124" w:rsidRPr="00233666">
        <w:rPr>
          <w:rFonts w:ascii="Cambria" w:hAnsi="Cambria"/>
          <w:sz w:val="22"/>
          <w:szCs w:val="22"/>
        </w:rPr>
        <w:t>added</w:t>
      </w:r>
      <w:r w:rsidRPr="00233666">
        <w:rPr>
          <w:rFonts w:ascii="Cambria" w:hAnsi="Cambria"/>
          <w:sz w:val="22"/>
          <w:szCs w:val="22"/>
        </w:rPr>
        <w:t xml:space="preserve"> an in-person format using a snowball method to complement the random telephone surveys conducted for the Regina Police Service’s Citizen Satisfaction Survey. </w:t>
      </w:r>
      <w:r w:rsidR="00576672">
        <w:rPr>
          <w:rFonts w:ascii="Cambria" w:hAnsi="Cambria"/>
          <w:sz w:val="22"/>
          <w:szCs w:val="22"/>
        </w:rPr>
        <w:t xml:space="preserve">Personal communication. </w:t>
      </w:r>
    </w:p>
    <w:p w14:paraId="413E07FC" w14:textId="14B75EBA" w:rsidR="00064C7B" w:rsidRPr="00233666" w:rsidRDefault="00064C7B" w:rsidP="00652FAE">
      <w:pPr>
        <w:spacing w:line="480" w:lineRule="auto"/>
        <w:rPr>
          <w:rFonts w:ascii="Cambria" w:hAnsi="Cambria"/>
          <w:sz w:val="22"/>
          <w:szCs w:val="22"/>
        </w:rPr>
      </w:pPr>
      <w:r w:rsidRPr="00233666">
        <w:rPr>
          <w:rFonts w:ascii="Cambria" w:hAnsi="Cambria"/>
          <w:sz w:val="22"/>
          <w:szCs w:val="22"/>
        </w:rPr>
        <w:t>[</w:t>
      </w:r>
      <w:r w:rsidR="000517C0" w:rsidRPr="00233666">
        <w:rPr>
          <w:rFonts w:ascii="Cambria" w:hAnsi="Cambria"/>
          <w:sz w:val="22"/>
          <w:szCs w:val="22"/>
        </w:rPr>
        <w:t>6</w:t>
      </w:r>
      <w:r w:rsidRPr="00233666">
        <w:rPr>
          <w:rFonts w:ascii="Cambria" w:hAnsi="Cambria"/>
          <w:sz w:val="22"/>
          <w:szCs w:val="22"/>
        </w:rPr>
        <w:t>]</w:t>
      </w:r>
      <w:r w:rsidR="007148F1" w:rsidRPr="00233666">
        <w:rPr>
          <w:rFonts w:ascii="Cambria" w:hAnsi="Cambria"/>
          <w:sz w:val="22"/>
          <w:szCs w:val="22"/>
        </w:rPr>
        <w:t xml:space="preserve"> Trust and confidence questions used by other police services</w:t>
      </w:r>
      <w:r w:rsidR="00052DAE" w:rsidRPr="00233666">
        <w:rPr>
          <w:rFonts w:ascii="Cambria" w:hAnsi="Cambria"/>
          <w:sz w:val="22"/>
          <w:szCs w:val="22"/>
        </w:rPr>
        <w:t xml:space="preserve"> include</w:t>
      </w:r>
      <w:r w:rsidR="007148F1" w:rsidRPr="00233666">
        <w:rPr>
          <w:rFonts w:ascii="Cambria" w:hAnsi="Cambria"/>
          <w:sz w:val="22"/>
          <w:szCs w:val="22"/>
        </w:rPr>
        <w:t xml:space="preserve"> Ottawa Police Service, Peel Regional Police Service, Regina Police Service, </w:t>
      </w:r>
      <w:r w:rsidR="009869AB" w:rsidRPr="00233666">
        <w:rPr>
          <w:rFonts w:ascii="Cambria" w:hAnsi="Cambria"/>
          <w:sz w:val="22"/>
          <w:szCs w:val="22"/>
        </w:rPr>
        <w:t xml:space="preserve">and </w:t>
      </w:r>
      <w:r w:rsidR="007148F1" w:rsidRPr="00233666">
        <w:rPr>
          <w:rFonts w:ascii="Cambria" w:hAnsi="Cambria"/>
          <w:sz w:val="22"/>
          <w:szCs w:val="22"/>
        </w:rPr>
        <w:t xml:space="preserve">Vancouver Police Service. </w:t>
      </w:r>
      <w:r w:rsidR="009869AB" w:rsidRPr="00233666">
        <w:rPr>
          <w:rFonts w:ascii="Cambria" w:hAnsi="Cambria"/>
          <w:sz w:val="22"/>
          <w:szCs w:val="22"/>
        </w:rPr>
        <w:t xml:space="preserve">Statistics Canada conducts its General Social Survey (GSS) on </w:t>
      </w:r>
      <w:r w:rsidR="00F120B9">
        <w:rPr>
          <w:rFonts w:ascii="Cambria" w:hAnsi="Cambria"/>
        </w:rPr>
        <w:t>V</w:t>
      </w:r>
      <w:r w:rsidR="009869AB" w:rsidRPr="00233666">
        <w:rPr>
          <w:rFonts w:ascii="Cambria" w:hAnsi="Cambria"/>
          <w:sz w:val="22"/>
          <w:szCs w:val="22"/>
        </w:rPr>
        <w:t xml:space="preserve">ictimization every five years, with the last one in 2014. </w:t>
      </w:r>
      <w:r w:rsidR="00010049" w:rsidRPr="00233666">
        <w:rPr>
          <w:rFonts w:ascii="Cambria" w:hAnsi="Cambria" w:cs="Segoe UI"/>
          <w:color w:val="222222"/>
          <w:sz w:val="22"/>
          <w:szCs w:val="22"/>
        </w:rPr>
        <w:t>The GSS asks Canadians about their perceptions of their local police services through a standard set of questions (e.g., Are the police in your community easy to talk to and approachable?). </w:t>
      </w:r>
      <w:r w:rsidR="009869AB" w:rsidRPr="00233666">
        <w:rPr>
          <w:rFonts w:ascii="Cambria" w:hAnsi="Cambria"/>
          <w:sz w:val="22"/>
          <w:szCs w:val="22"/>
        </w:rPr>
        <w:t xml:space="preserve">It asks questions on trust and confidence. </w:t>
      </w:r>
    </w:p>
    <w:p w14:paraId="6D277E7A" w14:textId="18ED335C" w:rsidR="00064C7B" w:rsidRPr="00233666" w:rsidRDefault="00064C7B" w:rsidP="00652FAE">
      <w:pPr>
        <w:spacing w:line="480" w:lineRule="auto"/>
        <w:rPr>
          <w:rFonts w:ascii="Cambria" w:hAnsi="Cambria"/>
          <w:sz w:val="22"/>
          <w:szCs w:val="22"/>
        </w:rPr>
      </w:pPr>
      <w:r w:rsidRPr="00233666">
        <w:rPr>
          <w:rFonts w:ascii="Cambria" w:hAnsi="Cambria"/>
          <w:sz w:val="22"/>
          <w:szCs w:val="22"/>
        </w:rPr>
        <w:t>[</w:t>
      </w:r>
      <w:r w:rsidR="000517C0" w:rsidRPr="00233666">
        <w:rPr>
          <w:rFonts w:ascii="Cambria" w:hAnsi="Cambria"/>
          <w:sz w:val="22"/>
          <w:szCs w:val="22"/>
        </w:rPr>
        <w:t>7</w:t>
      </w:r>
      <w:r w:rsidRPr="00233666">
        <w:rPr>
          <w:rFonts w:ascii="Cambria" w:hAnsi="Cambria"/>
          <w:sz w:val="22"/>
          <w:szCs w:val="22"/>
        </w:rPr>
        <w:t>]</w:t>
      </w:r>
      <w:r w:rsidR="00052DAE" w:rsidRPr="00233666">
        <w:rPr>
          <w:rFonts w:ascii="Cambria" w:hAnsi="Cambria"/>
          <w:sz w:val="22"/>
          <w:szCs w:val="22"/>
        </w:rPr>
        <w:t xml:space="preserve"> </w:t>
      </w:r>
      <w:r w:rsidR="003D5C46" w:rsidRPr="00233666">
        <w:rPr>
          <w:rFonts w:ascii="Cambria" w:hAnsi="Cambria"/>
          <w:sz w:val="22"/>
          <w:szCs w:val="22"/>
        </w:rPr>
        <w:t xml:space="preserve">This quote is from </w:t>
      </w:r>
      <w:r w:rsidR="00052DAE" w:rsidRPr="00233666">
        <w:rPr>
          <w:rFonts w:ascii="Cambria" w:hAnsi="Cambria"/>
          <w:sz w:val="22"/>
          <w:szCs w:val="22"/>
        </w:rPr>
        <w:t>Tyler</w:t>
      </w:r>
      <w:r w:rsidR="009869AB" w:rsidRPr="00233666">
        <w:rPr>
          <w:rFonts w:ascii="Cambria" w:hAnsi="Cambria"/>
          <w:sz w:val="22"/>
          <w:szCs w:val="22"/>
        </w:rPr>
        <w:t xml:space="preserve">, </w:t>
      </w:r>
      <w:r w:rsidR="00052DAE" w:rsidRPr="00233666">
        <w:rPr>
          <w:rFonts w:ascii="Cambria" w:hAnsi="Cambria"/>
          <w:sz w:val="22"/>
          <w:szCs w:val="22"/>
        </w:rPr>
        <w:t>2004</w:t>
      </w:r>
      <w:r w:rsidR="009869AB" w:rsidRPr="00233666">
        <w:rPr>
          <w:rFonts w:ascii="Cambria" w:hAnsi="Cambria"/>
          <w:sz w:val="22"/>
          <w:szCs w:val="22"/>
        </w:rPr>
        <w:t>,</w:t>
      </w:r>
      <w:r w:rsidR="00052DAE" w:rsidRPr="00233666">
        <w:rPr>
          <w:rFonts w:ascii="Cambria" w:hAnsi="Cambria"/>
          <w:sz w:val="22"/>
          <w:szCs w:val="22"/>
        </w:rPr>
        <w:t xml:space="preserve"> </w:t>
      </w:r>
      <w:r w:rsidR="003D5C46" w:rsidRPr="00233666">
        <w:rPr>
          <w:rFonts w:ascii="Cambria" w:hAnsi="Cambria"/>
          <w:sz w:val="22"/>
          <w:szCs w:val="22"/>
        </w:rPr>
        <w:t xml:space="preserve">p. 85. </w:t>
      </w:r>
    </w:p>
    <w:p w14:paraId="50DE5AEE" w14:textId="79FF3267" w:rsidR="003D5C46" w:rsidRPr="00233666" w:rsidRDefault="00064C7B" w:rsidP="00652FAE">
      <w:pPr>
        <w:spacing w:line="480" w:lineRule="auto"/>
        <w:rPr>
          <w:rFonts w:ascii="Cambria" w:hAnsi="Cambria"/>
          <w:sz w:val="22"/>
          <w:szCs w:val="22"/>
        </w:rPr>
      </w:pPr>
      <w:r w:rsidRPr="00D5414B">
        <w:rPr>
          <w:rFonts w:ascii="Cambria" w:hAnsi="Cambria"/>
          <w:sz w:val="22"/>
          <w:szCs w:val="22"/>
        </w:rPr>
        <w:t>[</w:t>
      </w:r>
      <w:r w:rsidR="003C3124" w:rsidRPr="00D5414B">
        <w:rPr>
          <w:rFonts w:ascii="Cambria" w:hAnsi="Cambria"/>
          <w:sz w:val="22"/>
          <w:szCs w:val="22"/>
        </w:rPr>
        <w:t>8</w:t>
      </w:r>
      <w:r w:rsidRPr="00D5414B">
        <w:rPr>
          <w:rFonts w:ascii="Cambria" w:hAnsi="Cambria"/>
          <w:sz w:val="22"/>
          <w:szCs w:val="22"/>
        </w:rPr>
        <w:t>]</w:t>
      </w:r>
      <w:r w:rsidR="003D5C46" w:rsidRPr="00233666">
        <w:rPr>
          <w:rFonts w:ascii="Cambria" w:hAnsi="Cambria"/>
          <w:sz w:val="22"/>
          <w:szCs w:val="22"/>
        </w:rPr>
        <w:t xml:space="preserve"> Dr. R. </w:t>
      </w:r>
      <w:proofErr w:type="spellStart"/>
      <w:r w:rsidR="003D5C46" w:rsidRPr="00233666">
        <w:rPr>
          <w:rFonts w:ascii="Cambria" w:hAnsi="Cambria"/>
          <w:sz w:val="22"/>
          <w:szCs w:val="22"/>
        </w:rPr>
        <w:t>Rudell</w:t>
      </w:r>
      <w:proofErr w:type="spellEnd"/>
      <w:r w:rsidR="003D5C46" w:rsidRPr="00233666">
        <w:rPr>
          <w:rFonts w:ascii="Cambria" w:hAnsi="Cambria"/>
          <w:sz w:val="22"/>
          <w:szCs w:val="22"/>
        </w:rPr>
        <w:t xml:space="preserve">, Department of Justice Studies, University of Regina </w:t>
      </w:r>
      <w:r w:rsidR="002D7878">
        <w:rPr>
          <w:rFonts w:ascii="Cambria" w:hAnsi="Cambria"/>
          <w:sz w:val="22"/>
          <w:szCs w:val="22"/>
        </w:rPr>
        <w:t>conducts the Regina Police Service</w:t>
      </w:r>
      <w:r w:rsidR="00803AD6">
        <w:rPr>
          <w:rFonts w:ascii="Cambria" w:hAnsi="Cambria"/>
          <w:sz w:val="22"/>
          <w:szCs w:val="22"/>
        </w:rPr>
        <w:t>s</w:t>
      </w:r>
      <w:r w:rsidR="002D7878">
        <w:rPr>
          <w:rFonts w:ascii="Cambria" w:hAnsi="Cambria"/>
          <w:sz w:val="22"/>
          <w:szCs w:val="22"/>
        </w:rPr>
        <w:t xml:space="preserve">’ CSS annually. He </w:t>
      </w:r>
      <w:r w:rsidR="003D5C46" w:rsidRPr="00233666">
        <w:rPr>
          <w:rFonts w:ascii="Cambria" w:hAnsi="Cambria"/>
          <w:sz w:val="22"/>
          <w:szCs w:val="22"/>
        </w:rPr>
        <w:t xml:space="preserve">generously shared </w:t>
      </w:r>
      <w:r w:rsidR="00803AD6">
        <w:rPr>
          <w:rFonts w:ascii="Cambria" w:hAnsi="Cambria"/>
          <w:sz w:val="22"/>
          <w:szCs w:val="22"/>
        </w:rPr>
        <w:t xml:space="preserve">six </w:t>
      </w:r>
      <w:r w:rsidR="003D5C46" w:rsidRPr="00233666">
        <w:rPr>
          <w:rFonts w:ascii="Cambria" w:hAnsi="Cambria"/>
          <w:sz w:val="22"/>
          <w:szCs w:val="22"/>
        </w:rPr>
        <w:t xml:space="preserve">questions from the </w:t>
      </w:r>
      <w:r w:rsidR="003C3124" w:rsidRPr="00233666">
        <w:rPr>
          <w:rFonts w:ascii="Cambria" w:hAnsi="Cambria"/>
          <w:sz w:val="22"/>
          <w:szCs w:val="22"/>
        </w:rPr>
        <w:t>RPS</w:t>
      </w:r>
      <w:r w:rsidR="00803AD6">
        <w:rPr>
          <w:rFonts w:ascii="Cambria" w:hAnsi="Cambria"/>
          <w:sz w:val="22"/>
          <w:szCs w:val="22"/>
        </w:rPr>
        <w:t xml:space="preserve">, which </w:t>
      </w:r>
      <w:r w:rsidR="003C3124" w:rsidRPr="00233666">
        <w:rPr>
          <w:rFonts w:ascii="Cambria" w:hAnsi="Cambria"/>
          <w:sz w:val="22"/>
          <w:szCs w:val="22"/>
        </w:rPr>
        <w:t xml:space="preserve">were added to the </w:t>
      </w:r>
      <w:r w:rsidR="003C3124" w:rsidRPr="00233666">
        <w:rPr>
          <w:rFonts w:ascii="Cambria" w:hAnsi="Cambria"/>
          <w:sz w:val="22"/>
          <w:szCs w:val="22"/>
        </w:rPr>
        <w:lastRenderedPageBreak/>
        <w:t xml:space="preserve">TBPS’ </w:t>
      </w:r>
      <w:r w:rsidR="00803AD6">
        <w:rPr>
          <w:rFonts w:ascii="Cambria" w:hAnsi="Cambria"/>
          <w:sz w:val="22"/>
          <w:szCs w:val="22"/>
        </w:rPr>
        <w:t>CSS</w:t>
      </w:r>
      <w:r w:rsidR="003C3124" w:rsidRPr="00233666">
        <w:rPr>
          <w:rFonts w:ascii="Cambria" w:hAnsi="Cambria"/>
          <w:sz w:val="22"/>
          <w:szCs w:val="22"/>
        </w:rPr>
        <w:t xml:space="preserve"> in 2018. TBPS also</w:t>
      </w:r>
      <w:r w:rsidR="00B56708" w:rsidRPr="00233666">
        <w:rPr>
          <w:rFonts w:ascii="Cambria" w:hAnsi="Cambria"/>
          <w:sz w:val="22"/>
          <w:szCs w:val="22"/>
        </w:rPr>
        <w:t xml:space="preserve"> used the questions from </w:t>
      </w:r>
      <w:r w:rsidR="000517C0" w:rsidRPr="00233666">
        <w:rPr>
          <w:rFonts w:ascii="Cambria" w:hAnsi="Cambria"/>
          <w:sz w:val="22"/>
          <w:szCs w:val="22"/>
        </w:rPr>
        <w:t xml:space="preserve">Statistics Canada’s General Social Survey </w:t>
      </w:r>
      <w:r w:rsidR="00167F7C" w:rsidRPr="00233666">
        <w:rPr>
          <w:rFonts w:ascii="Cambria" w:hAnsi="Cambria"/>
          <w:sz w:val="22"/>
          <w:szCs w:val="22"/>
        </w:rPr>
        <w:t xml:space="preserve">(GSS) </w:t>
      </w:r>
      <w:r w:rsidR="000517C0" w:rsidRPr="00233666">
        <w:rPr>
          <w:rFonts w:ascii="Cambria" w:hAnsi="Cambria"/>
          <w:sz w:val="22"/>
          <w:szCs w:val="22"/>
        </w:rPr>
        <w:t xml:space="preserve">on </w:t>
      </w:r>
      <w:r w:rsidR="00D059F6">
        <w:rPr>
          <w:rFonts w:ascii="Cambria" w:hAnsi="Cambria"/>
        </w:rPr>
        <w:t>V</w:t>
      </w:r>
      <w:r w:rsidR="000517C0" w:rsidRPr="00233666">
        <w:rPr>
          <w:rFonts w:ascii="Cambria" w:hAnsi="Cambria"/>
          <w:sz w:val="22"/>
          <w:szCs w:val="22"/>
        </w:rPr>
        <w:t>ictimization</w:t>
      </w:r>
      <w:r w:rsidR="003C3124" w:rsidRPr="00233666">
        <w:rPr>
          <w:rFonts w:ascii="Cambria" w:hAnsi="Cambria"/>
          <w:sz w:val="22"/>
          <w:szCs w:val="22"/>
        </w:rPr>
        <w:t>. Adding these questions</w:t>
      </w:r>
      <w:r w:rsidR="000517C0" w:rsidRPr="00233666">
        <w:rPr>
          <w:rFonts w:ascii="Cambria" w:hAnsi="Cambria"/>
          <w:sz w:val="22"/>
          <w:szCs w:val="22"/>
        </w:rPr>
        <w:t xml:space="preserve"> allow</w:t>
      </w:r>
      <w:r w:rsidR="003C3124" w:rsidRPr="00233666">
        <w:rPr>
          <w:rFonts w:ascii="Cambria" w:hAnsi="Cambria"/>
          <w:sz w:val="22"/>
          <w:szCs w:val="22"/>
        </w:rPr>
        <w:t>s</w:t>
      </w:r>
      <w:r w:rsidR="000517C0" w:rsidRPr="00233666">
        <w:rPr>
          <w:rFonts w:ascii="Cambria" w:hAnsi="Cambria"/>
          <w:sz w:val="22"/>
          <w:szCs w:val="22"/>
        </w:rPr>
        <w:t xml:space="preserve"> the TBPS to compare its results on </w:t>
      </w:r>
      <w:r w:rsidR="003C3124" w:rsidRPr="00233666">
        <w:rPr>
          <w:rFonts w:ascii="Cambria" w:hAnsi="Cambria"/>
          <w:sz w:val="22"/>
          <w:szCs w:val="22"/>
        </w:rPr>
        <w:t>these</w:t>
      </w:r>
      <w:r w:rsidR="000517C0" w:rsidRPr="00233666">
        <w:rPr>
          <w:rFonts w:ascii="Cambria" w:hAnsi="Cambria"/>
          <w:sz w:val="22"/>
          <w:szCs w:val="22"/>
        </w:rPr>
        <w:t xml:space="preserve"> questions </w:t>
      </w:r>
      <w:r w:rsidR="003C3124" w:rsidRPr="00233666">
        <w:rPr>
          <w:rFonts w:ascii="Cambria" w:hAnsi="Cambria"/>
          <w:sz w:val="22"/>
          <w:szCs w:val="22"/>
        </w:rPr>
        <w:t xml:space="preserve">to </w:t>
      </w:r>
      <w:r w:rsidR="00D059F6">
        <w:rPr>
          <w:rFonts w:ascii="Cambria" w:hAnsi="Cambria"/>
        </w:rPr>
        <w:t xml:space="preserve">respondents to </w:t>
      </w:r>
      <w:r w:rsidR="00167F7C" w:rsidRPr="00233666">
        <w:rPr>
          <w:rFonts w:ascii="Cambria" w:hAnsi="Cambria"/>
          <w:sz w:val="22"/>
          <w:szCs w:val="22"/>
        </w:rPr>
        <w:t>another police service that guided TBPS’ approach (</w:t>
      </w:r>
      <w:r w:rsidR="003C3124" w:rsidRPr="00233666">
        <w:rPr>
          <w:rFonts w:ascii="Cambria" w:hAnsi="Cambria"/>
          <w:sz w:val="22"/>
          <w:szCs w:val="22"/>
        </w:rPr>
        <w:t>RPS</w:t>
      </w:r>
      <w:r w:rsidR="00167F7C" w:rsidRPr="00233666">
        <w:rPr>
          <w:rFonts w:ascii="Cambria" w:hAnsi="Cambria"/>
          <w:sz w:val="22"/>
          <w:szCs w:val="22"/>
        </w:rPr>
        <w:t>)</w:t>
      </w:r>
      <w:r w:rsidR="003C3124" w:rsidRPr="00233666">
        <w:rPr>
          <w:rFonts w:ascii="Cambria" w:hAnsi="Cambria"/>
          <w:sz w:val="22"/>
          <w:szCs w:val="22"/>
        </w:rPr>
        <w:t xml:space="preserve"> and </w:t>
      </w:r>
      <w:r w:rsidR="00D059F6">
        <w:rPr>
          <w:rFonts w:ascii="Cambria" w:hAnsi="Cambria"/>
        </w:rPr>
        <w:t xml:space="preserve">to </w:t>
      </w:r>
      <w:r w:rsidR="00167F7C" w:rsidRPr="00233666">
        <w:rPr>
          <w:rFonts w:ascii="Cambria" w:hAnsi="Cambria"/>
          <w:sz w:val="22"/>
          <w:szCs w:val="22"/>
        </w:rPr>
        <w:t>national</w:t>
      </w:r>
      <w:r w:rsidR="00D059F6">
        <w:rPr>
          <w:rFonts w:ascii="Cambria" w:hAnsi="Cambria"/>
        </w:rPr>
        <w:t xml:space="preserve"> respondents</w:t>
      </w:r>
      <w:r w:rsidR="00167F7C" w:rsidRPr="00233666">
        <w:rPr>
          <w:rFonts w:ascii="Cambria" w:hAnsi="Cambria"/>
          <w:sz w:val="22"/>
          <w:szCs w:val="22"/>
        </w:rPr>
        <w:t xml:space="preserve"> (</w:t>
      </w:r>
      <w:r w:rsidR="003C3124" w:rsidRPr="00233666">
        <w:rPr>
          <w:rFonts w:ascii="Cambria" w:hAnsi="Cambria"/>
          <w:sz w:val="22"/>
          <w:szCs w:val="22"/>
        </w:rPr>
        <w:t>GSS</w:t>
      </w:r>
      <w:r w:rsidR="00167F7C" w:rsidRPr="00233666">
        <w:rPr>
          <w:rFonts w:ascii="Cambria" w:hAnsi="Cambria"/>
          <w:sz w:val="22"/>
          <w:szCs w:val="22"/>
        </w:rPr>
        <w:t xml:space="preserve">) </w:t>
      </w:r>
      <w:r w:rsidR="003C3124" w:rsidRPr="00233666">
        <w:rPr>
          <w:rFonts w:ascii="Cambria" w:hAnsi="Cambria"/>
          <w:sz w:val="22"/>
          <w:szCs w:val="22"/>
        </w:rPr>
        <w:t>in 2019</w:t>
      </w:r>
      <w:r w:rsidR="000517C0" w:rsidRPr="00233666">
        <w:rPr>
          <w:rFonts w:ascii="Cambria" w:hAnsi="Cambria"/>
          <w:sz w:val="22"/>
          <w:szCs w:val="22"/>
        </w:rPr>
        <w:t xml:space="preserve">. </w:t>
      </w:r>
    </w:p>
    <w:p w14:paraId="42C0A047" w14:textId="0ABB91FC" w:rsidR="0099541A" w:rsidRPr="00233666" w:rsidRDefault="00064C7B" w:rsidP="00652FAE">
      <w:pPr>
        <w:spacing w:line="480" w:lineRule="auto"/>
        <w:rPr>
          <w:rFonts w:ascii="Cambria" w:hAnsi="Cambria"/>
          <w:sz w:val="22"/>
          <w:szCs w:val="22"/>
        </w:rPr>
      </w:pPr>
      <w:r w:rsidRPr="00233666">
        <w:rPr>
          <w:rFonts w:ascii="Cambria" w:hAnsi="Cambria"/>
          <w:sz w:val="22"/>
          <w:szCs w:val="22"/>
        </w:rPr>
        <w:t>[9]</w:t>
      </w:r>
      <w:r w:rsidR="00A16371" w:rsidRPr="00233666">
        <w:rPr>
          <w:rFonts w:ascii="Cambria" w:hAnsi="Cambria"/>
          <w:sz w:val="22"/>
          <w:szCs w:val="22"/>
        </w:rPr>
        <w:t xml:space="preserve"> Disqualified resp</w:t>
      </w:r>
      <w:r w:rsidR="0038245A" w:rsidRPr="00233666">
        <w:rPr>
          <w:rFonts w:ascii="Cambria" w:hAnsi="Cambria"/>
          <w:sz w:val="22"/>
          <w:szCs w:val="22"/>
        </w:rPr>
        <w:t xml:space="preserve">ondents include those who: reported being under age 18, </w:t>
      </w:r>
      <w:r w:rsidR="00576672">
        <w:rPr>
          <w:rFonts w:ascii="Cambria" w:hAnsi="Cambria"/>
          <w:sz w:val="22"/>
          <w:szCs w:val="22"/>
        </w:rPr>
        <w:t xml:space="preserve">and/or </w:t>
      </w:r>
      <w:r w:rsidR="0038245A" w:rsidRPr="00233666">
        <w:rPr>
          <w:rFonts w:ascii="Cambria" w:hAnsi="Cambria"/>
          <w:sz w:val="22"/>
          <w:szCs w:val="22"/>
        </w:rPr>
        <w:t>indicated that “you or anyone in your household works for the Thunder Bay Police Service”.</w:t>
      </w:r>
    </w:p>
    <w:p w14:paraId="6923235A" w14:textId="1314E1C0" w:rsidR="00064C7B" w:rsidRPr="00233666" w:rsidRDefault="00064C7B" w:rsidP="00652FAE">
      <w:pPr>
        <w:spacing w:line="480" w:lineRule="auto"/>
        <w:rPr>
          <w:rFonts w:ascii="Cambria" w:hAnsi="Cambria"/>
          <w:sz w:val="22"/>
          <w:szCs w:val="22"/>
        </w:rPr>
      </w:pPr>
      <w:r w:rsidRPr="00233666">
        <w:rPr>
          <w:rFonts w:ascii="Cambria" w:hAnsi="Cambria"/>
          <w:sz w:val="22"/>
          <w:szCs w:val="22"/>
        </w:rPr>
        <w:t>[10]</w:t>
      </w:r>
      <w:r w:rsidR="0038245A" w:rsidRPr="00233666">
        <w:rPr>
          <w:rFonts w:ascii="Cambria" w:hAnsi="Cambria"/>
          <w:sz w:val="22"/>
          <w:szCs w:val="22"/>
        </w:rPr>
        <w:t xml:space="preserve"> </w:t>
      </w:r>
      <w:r w:rsidR="0099541A" w:rsidRPr="00233666">
        <w:rPr>
          <w:rFonts w:ascii="Cambria" w:hAnsi="Cambria"/>
          <w:sz w:val="22"/>
          <w:szCs w:val="22"/>
        </w:rPr>
        <w:t>Cathy Alex (CBC News) reported on Braiden</w:t>
      </w:r>
      <w:r w:rsidR="007E33D6" w:rsidRPr="00233666">
        <w:rPr>
          <w:rFonts w:ascii="Cambria" w:hAnsi="Cambria"/>
          <w:sz w:val="22"/>
          <w:szCs w:val="22"/>
        </w:rPr>
        <w:t xml:space="preserve"> Jacob’s death </w:t>
      </w:r>
      <w:r w:rsidR="0099541A" w:rsidRPr="00233666">
        <w:rPr>
          <w:rFonts w:ascii="Cambria" w:hAnsi="Cambria"/>
          <w:sz w:val="22"/>
          <w:szCs w:val="22"/>
        </w:rPr>
        <w:t xml:space="preserve">and the subsequent </w:t>
      </w:r>
      <w:r w:rsidR="007E33D6" w:rsidRPr="00233666">
        <w:rPr>
          <w:rFonts w:ascii="Cambria" w:hAnsi="Cambria"/>
          <w:sz w:val="22"/>
          <w:szCs w:val="22"/>
        </w:rPr>
        <w:t xml:space="preserve">homicide investigation. </w:t>
      </w:r>
      <w:r w:rsidR="00641242" w:rsidRPr="00233666">
        <w:rPr>
          <w:rFonts w:ascii="Cambria" w:hAnsi="Cambria"/>
          <w:sz w:val="22"/>
          <w:szCs w:val="22"/>
        </w:rPr>
        <w:t>Braiden’s</w:t>
      </w:r>
      <w:r w:rsidR="007E33D6" w:rsidRPr="00233666">
        <w:rPr>
          <w:rFonts w:ascii="Cambria" w:hAnsi="Cambria"/>
          <w:sz w:val="22"/>
          <w:szCs w:val="22"/>
        </w:rPr>
        <w:t xml:space="preserve"> tragic death </w:t>
      </w:r>
      <w:r w:rsidR="0099541A" w:rsidRPr="00233666">
        <w:rPr>
          <w:rFonts w:ascii="Cambria" w:hAnsi="Cambria"/>
          <w:sz w:val="22"/>
          <w:szCs w:val="22"/>
        </w:rPr>
        <w:t xml:space="preserve">in 2018 </w:t>
      </w:r>
      <w:r w:rsidR="007E33D6" w:rsidRPr="00233666">
        <w:rPr>
          <w:rFonts w:ascii="Cambria" w:hAnsi="Cambria"/>
          <w:sz w:val="22"/>
          <w:szCs w:val="22"/>
        </w:rPr>
        <w:t xml:space="preserve">follows </w:t>
      </w:r>
      <w:r w:rsidR="00641242" w:rsidRPr="00233666">
        <w:rPr>
          <w:rFonts w:ascii="Cambria" w:hAnsi="Cambria"/>
          <w:sz w:val="22"/>
          <w:szCs w:val="22"/>
        </w:rPr>
        <w:t xml:space="preserve">nine First Nations youth that </w:t>
      </w:r>
      <w:r w:rsidR="0099541A" w:rsidRPr="00233666">
        <w:rPr>
          <w:rFonts w:ascii="Cambria" w:hAnsi="Cambria"/>
          <w:sz w:val="22"/>
          <w:szCs w:val="22"/>
        </w:rPr>
        <w:t xml:space="preserve">had </w:t>
      </w:r>
      <w:r w:rsidR="00641242" w:rsidRPr="00233666">
        <w:rPr>
          <w:rFonts w:ascii="Cambria" w:hAnsi="Cambria"/>
          <w:sz w:val="22"/>
          <w:szCs w:val="22"/>
        </w:rPr>
        <w:t>died in Thunder Bay since 2000</w:t>
      </w:r>
      <w:r w:rsidR="0099541A" w:rsidRPr="00233666">
        <w:rPr>
          <w:rFonts w:ascii="Cambria" w:hAnsi="Cambria"/>
          <w:sz w:val="22"/>
          <w:szCs w:val="22"/>
        </w:rPr>
        <w:t>, as reported by APTN News</w:t>
      </w:r>
      <w:r w:rsidR="00641242" w:rsidRPr="00233666">
        <w:rPr>
          <w:rFonts w:ascii="Cambria" w:hAnsi="Cambria"/>
          <w:sz w:val="22"/>
          <w:szCs w:val="22"/>
        </w:rPr>
        <w:t xml:space="preserve">.  </w:t>
      </w:r>
    </w:p>
    <w:p w14:paraId="5E1DBDF5" w14:textId="1FB94557" w:rsidR="00C6627C" w:rsidRDefault="00064C7B" w:rsidP="00C6627C">
      <w:pPr>
        <w:spacing w:line="480" w:lineRule="auto"/>
        <w:rPr>
          <w:rFonts w:ascii="Cambria" w:hAnsi="Cambria"/>
          <w:sz w:val="22"/>
          <w:szCs w:val="22"/>
        </w:rPr>
      </w:pPr>
      <w:r w:rsidRPr="00233666">
        <w:rPr>
          <w:rFonts w:ascii="Cambria" w:hAnsi="Cambria"/>
          <w:sz w:val="22"/>
          <w:szCs w:val="22"/>
        </w:rPr>
        <w:t>[11]</w:t>
      </w:r>
      <w:r w:rsidR="00D44A01" w:rsidRPr="00233666">
        <w:rPr>
          <w:rFonts w:ascii="Cambria" w:hAnsi="Cambria"/>
          <w:sz w:val="22"/>
          <w:szCs w:val="22"/>
        </w:rPr>
        <w:t xml:space="preserve"> McNeilly, G. (2018, p. 184).</w:t>
      </w:r>
      <w:r w:rsidR="00C6627C">
        <w:rPr>
          <w:rFonts w:ascii="Cambria" w:hAnsi="Cambria"/>
          <w:sz w:val="22"/>
          <w:szCs w:val="22"/>
        </w:rPr>
        <w:t xml:space="preserve"> </w:t>
      </w:r>
      <w:r w:rsidR="00C5717C">
        <w:rPr>
          <w:rFonts w:ascii="Cambria" w:hAnsi="Cambria"/>
          <w:sz w:val="22"/>
          <w:szCs w:val="22"/>
        </w:rPr>
        <w:t>McNeilly conducted a s</w:t>
      </w:r>
      <w:r w:rsidR="004477B3">
        <w:rPr>
          <w:rFonts w:ascii="Cambria" w:hAnsi="Cambria"/>
          <w:sz w:val="22"/>
          <w:szCs w:val="22"/>
        </w:rPr>
        <w:t xml:space="preserve">ystemic </w:t>
      </w:r>
      <w:r w:rsidR="00C5717C">
        <w:rPr>
          <w:rFonts w:ascii="Cambria" w:hAnsi="Cambria"/>
          <w:sz w:val="22"/>
          <w:szCs w:val="22"/>
        </w:rPr>
        <w:t>r</w:t>
      </w:r>
      <w:r w:rsidR="004477B3">
        <w:rPr>
          <w:rFonts w:ascii="Cambria" w:hAnsi="Cambria"/>
          <w:sz w:val="22"/>
          <w:szCs w:val="22"/>
        </w:rPr>
        <w:t>eview</w:t>
      </w:r>
      <w:r w:rsidR="00C6627C">
        <w:rPr>
          <w:rFonts w:ascii="Cambria" w:hAnsi="Cambria"/>
          <w:sz w:val="22"/>
          <w:szCs w:val="22"/>
        </w:rPr>
        <w:t xml:space="preserve"> </w:t>
      </w:r>
      <w:r w:rsidR="00C5717C">
        <w:rPr>
          <w:rFonts w:ascii="Cambria" w:hAnsi="Cambria"/>
          <w:sz w:val="22"/>
          <w:szCs w:val="22"/>
        </w:rPr>
        <w:t>in his role as the</w:t>
      </w:r>
      <w:r w:rsidR="00C6627C">
        <w:rPr>
          <w:rFonts w:ascii="Cambria" w:hAnsi="Cambria"/>
          <w:sz w:val="22"/>
          <w:szCs w:val="22"/>
        </w:rPr>
        <w:t xml:space="preserve"> Ontario I</w:t>
      </w:r>
      <w:r w:rsidR="004477B3">
        <w:rPr>
          <w:rFonts w:ascii="Cambria" w:hAnsi="Cambria"/>
          <w:sz w:val="22"/>
          <w:szCs w:val="22"/>
        </w:rPr>
        <w:t>ndependent Police Review Director (OIPRD). The</w:t>
      </w:r>
      <w:r w:rsidR="00C5717C">
        <w:rPr>
          <w:rFonts w:ascii="Cambria" w:hAnsi="Cambria"/>
          <w:sz w:val="22"/>
          <w:szCs w:val="22"/>
        </w:rPr>
        <w:t xml:space="preserve"> r</w:t>
      </w:r>
      <w:r w:rsidR="004477B3">
        <w:rPr>
          <w:rFonts w:ascii="Cambria" w:hAnsi="Cambria"/>
          <w:sz w:val="22"/>
          <w:szCs w:val="22"/>
        </w:rPr>
        <w:t xml:space="preserve">eview responded to complaints about the TBPS’ investigation into the death of an Indigenous man named Stacey </w:t>
      </w:r>
      <w:proofErr w:type="spellStart"/>
      <w:r w:rsidR="004477B3">
        <w:rPr>
          <w:rFonts w:ascii="Cambria" w:hAnsi="Cambria"/>
          <w:sz w:val="22"/>
          <w:szCs w:val="22"/>
        </w:rPr>
        <w:t>DeBungee</w:t>
      </w:r>
      <w:proofErr w:type="spellEnd"/>
      <w:r w:rsidR="004477B3">
        <w:rPr>
          <w:rFonts w:ascii="Cambria" w:hAnsi="Cambria"/>
          <w:sz w:val="22"/>
          <w:szCs w:val="22"/>
        </w:rPr>
        <w:t xml:space="preserve">. </w:t>
      </w:r>
    </w:p>
    <w:p w14:paraId="40E30AEB" w14:textId="359D3D7B" w:rsidR="00652FAE" w:rsidRPr="00C6627C" w:rsidRDefault="00064C7B" w:rsidP="00652FAE">
      <w:pPr>
        <w:spacing w:line="480" w:lineRule="auto"/>
        <w:rPr>
          <w:rFonts w:ascii="Cambria" w:hAnsi="Cambria"/>
          <w:sz w:val="22"/>
          <w:szCs w:val="22"/>
        </w:rPr>
      </w:pPr>
      <w:r w:rsidRPr="00233666">
        <w:rPr>
          <w:rFonts w:ascii="Cambria" w:hAnsi="Cambria"/>
          <w:sz w:val="22"/>
          <w:szCs w:val="22"/>
        </w:rPr>
        <w:t>[12]</w:t>
      </w:r>
      <w:r w:rsidR="00D44A01" w:rsidRPr="00233666">
        <w:rPr>
          <w:rFonts w:ascii="Cambria" w:hAnsi="Cambria"/>
          <w:sz w:val="22"/>
          <w:szCs w:val="22"/>
        </w:rPr>
        <w:t xml:space="preserve"> Sinclair, M. (2018, p. 62).</w:t>
      </w:r>
      <w:r w:rsidR="00C6627C">
        <w:rPr>
          <w:rFonts w:ascii="Cambria" w:hAnsi="Cambria"/>
          <w:sz w:val="22"/>
          <w:szCs w:val="22"/>
        </w:rPr>
        <w:t xml:space="preserve"> </w:t>
      </w:r>
      <w:r w:rsidR="00C6627C">
        <w:t xml:space="preserve">The Ontario Civilian Police Commission (“OCPC”) retained Senator Murray Sinclair to lead the Investigation into the </w:t>
      </w:r>
      <w:r w:rsidR="004477B3">
        <w:t xml:space="preserve">TBPS </w:t>
      </w:r>
      <w:r w:rsidR="00C6627C">
        <w:t>Board</w:t>
      </w:r>
      <w:r w:rsidR="004477B3">
        <w:t>’s</w:t>
      </w:r>
      <w:r w:rsidR="00C6627C">
        <w:t xml:space="preserve"> oversight of the </w:t>
      </w:r>
      <w:r w:rsidR="004477B3">
        <w:t xml:space="preserve">relationship between the </w:t>
      </w:r>
      <w:r w:rsidR="00C6627C">
        <w:t xml:space="preserve">Thunder Bay Police Service (“TBPS”) </w:t>
      </w:r>
      <w:r w:rsidR="004477B3">
        <w:t>and</w:t>
      </w:r>
      <w:r w:rsidR="00C6627C">
        <w:t xml:space="preserve"> the Indigenous community. Sinclair’s investigation responded to concerns raised by First Nations leaders from </w:t>
      </w:r>
      <w:proofErr w:type="spellStart"/>
      <w:r w:rsidR="00C6627C">
        <w:t>Nishnawbe</w:t>
      </w:r>
      <w:proofErr w:type="spellEnd"/>
      <w:r w:rsidR="00C6627C">
        <w:t xml:space="preserve"> </w:t>
      </w:r>
      <w:proofErr w:type="spellStart"/>
      <w:r w:rsidR="00C6627C">
        <w:t>Aski</w:t>
      </w:r>
      <w:proofErr w:type="spellEnd"/>
      <w:r w:rsidR="00C6627C">
        <w:t xml:space="preserve"> Nation, Grand Council Treaty 3, and the Rainy River First Nations about the Thunder Bay Police Services Board’s (“Board”) oversight of police services. </w:t>
      </w:r>
      <w:r w:rsidR="00CB7181" w:rsidRPr="00233666">
        <w:rPr>
          <w:rFonts w:ascii="Cambria" w:hAnsi="Cambria"/>
          <w:sz w:val="22"/>
          <w:szCs w:val="22"/>
        </w:rPr>
        <w:br/>
      </w:r>
      <w:r w:rsidRPr="00233666">
        <w:rPr>
          <w:rFonts w:ascii="Cambria" w:hAnsi="Cambria"/>
          <w:sz w:val="22"/>
          <w:szCs w:val="22"/>
        </w:rPr>
        <w:t>[13]</w:t>
      </w:r>
      <w:r w:rsidR="003A4025" w:rsidRPr="00233666">
        <w:rPr>
          <w:rFonts w:ascii="Cambria" w:hAnsi="Cambria"/>
          <w:sz w:val="22"/>
          <w:szCs w:val="22"/>
        </w:rPr>
        <w:t xml:space="preserve"> </w:t>
      </w:r>
      <w:r w:rsidR="00CB7181" w:rsidRPr="00233666">
        <w:rPr>
          <w:rFonts w:ascii="Cambria" w:hAnsi="Cambria"/>
          <w:sz w:val="22"/>
          <w:szCs w:val="22"/>
          <w:lang w:val="en-US"/>
        </w:rPr>
        <w:t>First,</w:t>
      </w:r>
      <w:r w:rsidR="00DA5CAF" w:rsidRPr="00233666">
        <w:rPr>
          <w:rFonts w:ascii="Cambria" w:hAnsi="Cambria"/>
          <w:sz w:val="22"/>
          <w:szCs w:val="22"/>
          <w:lang w:val="en-US"/>
        </w:rPr>
        <w:t xml:space="preserve"> researc</w:t>
      </w:r>
      <w:r w:rsidR="00CB7181" w:rsidRPr="00233666">
        <w:rPr>
          <w:rFonts w:ascii="Cambria" w:hAnsi="Cambria"/>
          <w:sz w:val="22"/>
          <w:szCs w:val="22"/>
          <w:lang w:val="en-US"/>
        </w:rPr>
        <w:t xml:space="preserve">hers find </w:t>
      </w:r>
      <w:r w:rsidR="00DA5CAF" w:rsidRPr="00233666">
        <w:rPr>
          <w:rFonts w:ascii="Cambria" w:hAnsi="Cambria"/>
          <w:sz w:val="22"/>
          <w:szCs w:val="22"/>
          <w:lang w:val="en-US"/>
        </w:rPr>
        <w:t xml:space="preserve">that age is a significant influence on trust in policing. </w:t>
      </w:r>
      <w:r w:rsidR="00DA5CAF" w:rsidRPr="00233666">
        <w:rPr>
          <w:rFonts w:ascii="Cambria" w:hAnsi="Cambria"/>
          <w:sz w:val="22"/>
          <w:szCs w:val="22"/>
        </w:rPr>
        <w:t xml:space="preserve">Chow (2011, 2012) examined Canadian high school students. He found students consistently scored low on the general attitudes toward police. </w:t>
      </w:r>
      <w:r w:rsidR="00CB7181" w:rsidRPr="00233666">
        <w:rPr>
          <w:rFonts w:ascii="Cambria" w:hAnsi="Cambria"/>
          <w:sz w:val="22"/>
          <w:szCs w:val="22"/>
        </w:rPr>
        <w:t>Chow’s</w:t>
      </w:r>
      <w:r w:rsidR="00DA5CAF" w:rsidRPr="00233666">
        <w:rPr>
          <w:rFonts w:ascii="Cambria" w:hAnsi="Cambria"/>
          <w:sz w:val="22"/>
          <w:szCs w:val="22"/>
        </w:rPr>
        <w:t xml:space="preserve"> study </w:t>
      </w:r>
      <w:r w:rsidR="00CB7181" w:rsidRPr="00233666">
        <w:rPr>
          <w:rFonts w:ascii="Cambria" w:hAnsi="Cambria"/>
          <w:sz w:val="22"/>
          <w:szCs w:val="22"/>
        </w:rPr>
        <w:t xml:space="preserve">finds </w:t>
      </w:r>
      <w:r w:rsidR="00DA5CAF" w:rsidRPr="00233666">
        <w:rPr>
          <w:rFonts w:ascii="Cambria" w:hAnsi="Cambria"/>
          <w:sz w:val="22"/>
          <w:szCs w:val="22"/>
        </w:rPr>
        <w:t xml:space="preserve">students held marginally positive attitudes about police, confirming other scholars’ findings (Friedman, </w:t>
      </w:r>
      <w:proofErr w:type="spellStart"/>
      <w:r w:rsidR="00DA5CAF" w:rsidRPr="00233666">
        <w:rPr>
          <w:rFonts w:ascii="Cambria" w:hAnsi="Cambria"/>
          <w:sz w:val="22"/>
          <w:szCs w:val="22"/>
        </w:rPr>
        <w:t>Lurigio</w:t>
      </w:r>
      <w:proofErr w:type="spellEnd"/>
      <w:r w:rsidR="00DA5CAF" w:rsidRPr="00233666">
        <w:rPr>
          <w:rFonts w:ascii="Cambria" w:hAnsi="Cambria"/>
          <w:sz w:val="22"/>
          <w:szCs w:val="22"/>
        </w:rPr>
        <w:t xml:space="preserve">, Greenleaf, Albertson, 2004; Hurst &amp; Frank, 2000). Second, racialized youth are more likely </w:t>
      </w:r>
      <w:r w:rsidR="00CB7181" w:rsidRPr="00233666">
        <w:rPr>
          <w:rFonts w:ascii="Cambria" w:hAnsi="Cambria"/>
          <w:sz w:val="22"/>
          <w:szCs w:val="22"/>
        </w:rPr>
        <w:t>to have lower</w:t>
      </w:r>
      <w:r w:rsidR="00DA5CAF" w:rsidRPr="00233666">
        <w:rPr>
          <w:rFonts w:ascii="Cambria" w:hAnsi="Cambria"/>
          <w:sz w:val="22"/>
          <w:szCs w:val="22"/>
        </w:rPr>
        <w:t xml:space="preserve"> trust in policing. Hurst (2007) found </w:t>
      </w:r>
      <w:r w:rsidR="00DA5CAF" w:rsidRPr="00233666">
        <w:rPr>
          <w:rFonts w:ascii="Cambria" w:hAnsi="Cambria"/>
          <w:sz w:val="22"/>
          <w:szCs w:val="22"/>
        </w:rPr>
        <w:lastRenderedPageBreak/>
        <w:t xml:space="preserve">trust in policing was greater among white youth (57%) than racialized youth (30%). Thus, age and race are relevant factors </w:t>
      </w:r>
      <w:r w:rsidR="00CB7181" w:rsidRPr="00233666">
        <w:rPr>
          <w:rFonts w:ascii="Cambria" w:hAnsi="Cambria"/>
          <w:sz w:val="22"/>
          <w:szCs w:val="22"/>
        </w:rPr>
        <w:t xml:space="preserve">in trust in policing </w:t>
      </w:r>
      <w:r w:rsidR="00DA5CAF" w:rsidRPr="00233666">
        <w:rPr>
          <w:rFonts w:ascii="Cambria" w:hAnsi="Cambria"/>
          <w:sz w:val="22"/>
          <w:szCs w:val="22"/>
        </w:rPr>
        <w:t>(Statistics Canada, 2009).</w:t>
      </w:r>
    </w:p>
    <w:p w14:paraId="02B42ABF" w14:textId="43773BFD" w:rsidR="00F120B9" w:rsidRPr="00D5414B" w:rsidRDefault="00064C7B" w:rsidP="00D5414B">
      <w:pPr>
        <w:spacing w:line="480" w:lineRule="auto"/>
        <w:rPr>
          <w:rFonts w:ascii="Cambria" w:hAnsi="Cambria"/>
          <w:sz w:val="22"/>
          <w:szCs w:val="22"/>
        </w:rPr>
      </w:pPr>
      <w:r w:rsidRPr="00233666">
        <w:rPr>
          <w:rFonts w:ascii="Cambria" w:hAnsi="Cambria"/>
          <w:sz w:val="22"/>
          <w:szCs w:val="22"/>
        </w:rPr>
        <w:t>[14]</w:t>
      </w:r>
      <w:r w:rsidR="00D54F65" w:rsidRPr="00233666">
        <w:rPr>
          <w:rFonts w:ascii="Cambria" w:hAnsi="Cambria"/>
          <w:sz w:val="22"/>
          <w:szCs w:val="22"/>
        </w:rPr>
        <w:t xml:space="preserve"> </w:t>
      </w:r>
      <w:proofErr w:type="spellStart"/>
      <w:r w:rsidR="00D83C46">
        <w:rPr>
          <w:color w:val="000000"/>
          <w:lang w:val="en-US"/>
        </w:rPr>
        <w:t>Tonkiss</w:t>
      </w:r>
      <w:proofErr w:type="spellEnd"/>
      <w:r w:rsidR="00D83C46">
        <w:rPr>
          <w:color w:val="000000"/>
          <w:lang w:val="en-US"/>
        </w:rPr>
        <w:t xml:space="preserve">, </w:t>
      </w:r>
      <w:proofErr w:type="spellStart"/>
      <w:r w:rsidR="00D83C46">
        <w:rPr>
          <w:color w:val="000000"/>
          <w:lang w:val="en-US"/>
        </w:rPr>
        <w:t>Passey</w:t>
      </w:r>
      <w:proofErr w:type="spellEnd"/>
      <w:r w:rsidR="00D83C46">
        <w:rPr>
          <w:color w:val="000000"/>
          <w:lang w:val="en-US"/>
        </w:rPr>
        <w:t>, Fenton, &amp; Hems</w:t>
      </w:r>
      <w:r w:rsidR="00652FAE">
        <w:rPr>
          <w:color w:val="000000"/>
          <w:lang w:val="en-US"/>
        </w:rPr>
        <w:t xml:space="preserve"> (</w:t>
      </w:r>
      <w:r w:rsidR="00D83C46">
        <w:rPr>
          <w:color w:val="000000"/>
          <w:lang w:val="en-US"/>
        </w:rPr>
        <w:t>2000</w:t>
      </w:r>
      <w:r w:rsidR="00652FAE">
        <w:rPr>
          <w:color w:val="000000"/>
          <w:lang w:val="en-US"/>
        </w:rPr>
        <w:t xml:space="preserve">) and </w:t>
      </w:r>
      <w:r w:rsidR="00D83C46">
        <w:rPr>
          <w:color w:val="000000"/>
          <w:lang w:val="en-US"/>
        </w:rPr>
        <w:t>Goldsmith</w:t>
      </w:r>
      <w:r w:rsidR="00652FAE">
        <w:rPr>
          <w:color w:val="000000"/>
          <w:lang w:val="en-US"/>
        </w:rPr>
        <w:t xml:space="preserve"> (</w:t>
      </w:r>
      <w:r w:rsidR="00D83C46">
        <w:rPr>
          <w:color w:val="000000"/>
          <w:lang w:val="en-US"/>
        </w:rPr>
        <w:t>2005</w:t>
      </w:r>
      <w:r w:rsidR="00652FAE">
        <w:rPr>
          <w:color w:val="000000"/>
          <w:lang w:val="en-US"/>
        </w:rPr>
        <w:t>) assert that without trust, the delivery of police service to citizens is compromised</w:t>
      </w:r>
      <w:r w:rsidR="00D83C46">
        <w:rPr>
          <w:color w:val="000000"/>
          <w:lang w:val="en-US"/>
        </w:rPr>
        <w:t xml:space="preserve">. </w:t>
      </w:r>
      <w:r w:rsidR="00652FAE">
        <w:rPr>
          <w:color w:val="000000"/>
          <w:lang w:val="en-US"/>
        </w:rPr>
        <w:t>Taylor Griffiths &amp; Clark (2017) found that</w:t>
      </w:r>
      <w:r w:rsidR="00D83C46">
        <w:rPr>
          <w:color w:val="000000"/>
          <w:lang w:val="en-US"/>
        </w:rPr>
        <w:t xml:space="preserve"> distrust of the police can lead to under-reporting and lack of cooperation with police</w:t>
      </w:r>
      <w:r w:rsidR="00652FAE">
        <w:rPr>
          <w:color w:val="000000"/>
          <w:lang w:val="en-US"/>
        </w:rPr>
        <w:t xml:space="preserve"> </w:t>
      </w:r>
      <w:r w:rsidR="00D83C46">
        <w:rPr>
          <w:color w:val="000000"/>
          <w:lang w:val="en-US"/>
        </w:rPr>
        <w:t>investigations and the perceptions and experiences that</w:t>
      </w:r>
      <w:r w:rsidR="00652FAE">
        <w:rPr>
          <w:color w:val="000000"/>
          <w:lang w:val="en-US"/>
        </w:rPr>
        <w:t xml:space="preserve"> </w:t>
      </w:r>
      <w:r w:rsidR="00D83C46">
        <w:rPr>
          <w:color w:val="000000"/>
          <w:lang w:val="en-US"/>
        </w:rPr>
        <w:t>police officers are indifferent to victims</w:t>
      </w:r>
      <w:r w:rsidR="00D5414B">
        <w:rPr>
          <w:color w:val="000000"/>
          <w:lang w:val="en-US"/>
        </w:rPr>
        <w:t xml:space="preserve">. </w:t>
      </w:r>
    </w:p>
    <w:p w14:paraId="5EEF0DE6" w14:textId="596B4147" w:rsidR="005942C2" w:rsidRPr="00E9363B" w:rsidRDefault="009869AB" w:rsidP="00E9363B">
      <w:pPr>
        <w:spacing w:line="480" w:lineRule="auto"/>
        <w:ind w:firstLine="720"/>
        <w:jc w:val="center"/>
        <w:rPr>
          <w:rFonts w:ascii="Cambria" w:hAnsi="Cambria"/>
          <w:b/>
        </w:rPr>
      </w:pPr>
      <w:r w:rsidRPr="00E9363B">
        <w:rPr>
          <w:rFonts w:ascii="Cambria" w:hAnsi="Cambria"/>
          <w:b/>
        </w:rPr>
        <w:t>References</w:t>
      </w:r>
    </w:p>
    <w:p w14:paraId="41210E3A" w14:textId="2C2BAC26" w:rsidR="0099541A" w:rsidRPr="00AC1F12" w:rsidRDefault="0099541A" w:rsidP="00987616">
      <w:pPr>
        <w:spacing w:line="480" w:lineRule="auto"/>
        <w:ind w:firstLine="720"/>
        <w:rPr>
          <w:rFonts w:ascii="Cambria" w:hAnsi="Cambria"/>
        </w:rPr>
      </w:pPr>
      <w:r w:rsidRPr="00AC1F12">
        <w:rPr>
          <w:rFonts w:ascii="Cambria" w:hAnsi="Cambria"/>
        </w:rPr>
        <w:t xml:space="preserve">Alex, C. (13-12-2018). Braiden Jacob’s death now a homicide investigation. CBC News. Retrieved from </w:t>
      </w:r>
      <w:hyperlink r:id="rId15" w:history="1">
        <w:r w:rsidRPr="00AC1F12">
          <w:rPr>
            <w:rStyle w:val="Hyperlink"/>
            <w:rFonts w:ascii="Cambria" w:hAnsi="Cambria"/>
          </w:rPr>
          <w:t>https://www.cbc.ca/news/canada/thunder-bay/braiden-jacob-thunder-bay-homicide-1.4945521</w:t>
        </w:r>
      </w:hyperlink>
      <w:r w:rsidRPr="00AC1F12">
        <w:rPr>
          <w:rFonts w:ascii="Cambria" w:hAnsi="Cambria"/>
        </w:rPr>
        <w:t>.</w:t>
      </w:r>
    </w:p>
    <w:p w14:paraId="5E174A7C" w14:textId="77777777" w:rsidR="00576672" w:rsidRDefault="00D44A01" w:rsidP="00576672">
      <w:pPr>
        <w:spacing w:line="480" w:lineRule="auto"/>
        <w:ind w:firstLine="720"/>
        <w:rPr>
          <w:rFonts w:ascii="Cambria" w:hAnsi="Cambria"/>
        </w:rPr>
      </w:pPr>
      <w:r w:rsidRPr="00AC1F12">
        <w:rPr>
          <w:rFonts w:ascii="Cambria" w:hAnsi="Cambria"/>
        </w:rPr>
        <w:t xml:space="preserve">APTN National News (27-06-2017). </w:t>
      </w:r>
      <w:r w:rsidR="0099541A" w:rsidRPr="00AC1F12">
        <w:rPr>
          <w:rFonts w:ascii="Cambria" w:hAnsi="Cambria"/>
        </w:rPr>
        <w:t xml:space="preserve">Indigenous deaths in Thunder Bay: A timeline. Retrieved from </w:t>
      </w:r>
      <w:hyperlink r:id="rId16" w:history="1">
        <w:r w:rsidRPr="00AC1F12">
          <w:rPr>
            <w:rStyle w:val="Hyperlink"/>
            <w:rFonts w:ascii="Cambria" w:hAnsi="Cambria"/>
          </w:rPr>
          <w:t>https://aptnnews.ca/2017/06/27/indigenous-deaths-in-thunder-bay-a-timeline/</w:t>
        </w:r>
      </w:hyperlink>
      <w:r w:rsidR="0099541A" w:rsidRPr="00AC1F12">
        <w:rPr>
          <w:rFonts w:ascii="Cambria" w:hAnsi="Cambria"/>
        </w:rPr>
        <w:t>.</w:t>
      </w:r>
    </w:p>
    <w:p w14:paraId="7C2CFA41" w14:textId="0E2A2ADF" w:rsidR="00576672" w:rsidRPr="00576672" w:rsidRDefault="00576672" w:rsidP="00576672">
      <w:pPr>
        <w:spacing w:line="480" w:lineRule="auto"/>
        <w:ind w:firstLine="720"/>
        <w:rPr>
          <w:rFonts w:ascii="Cambria" w:hAnsi="Cambria"/>
        </w:rPr>
      </w:pPr>
      <w:r w:rsidRPr="00233666">
        <w:rPr>
          <w:rFonts w:ascii="Cambria" w:hAnsi="Cambria"/>
          <w:sz w:val="22"/>
          <w:szCs w:val="22"/>
        </w:rPr>
        <w:t>McNeilly, G. (2018</w:t>
      </w:r>
      <w:r>
        <w:rPr>
          <w:rFonts w:ascii="Cambria" w:hAnsi="Cambria"/>
          <w:sz w:val="22"/>
          <w:szCs w:val="22"/>
        </w:rPr>
        <w:t xml:space="preserve">, December). </w:t>
      </w:r>
      <w:r w:rsidRPr="008517B1">
        <w:rPr>
          <w:rFonts w:ascii="Cambria" w:hAnsi="Cambria"/>
          <w:i/>
          <w:sz w:val="22"/>
          <w:szCs w:val="22"/>
        </w:rPr>
        <w:t>Broken Trust: Indigenous peoples and the Thunder Bay Police Service</w:t>
      </w:r>
      <w:r>
        <w:rPr>
          <w:rFonts w:ascii="Cambria" w:hAnsi="Cambria"/>
          <w:sz w:val="22"/>
          <w:szCs w:val="22"/>
        </w:rPr>
        <w:t xml:space="preserve">. Retrieved from </w:t>
      </w:r>
      <w:hyperlink r:id="rId17" w:history="1">
        <w:r w:rsidRPr="00576672">
          <w:rPr>
            <w:color w:val="0000FF"/>
            <w:u w:val="single"/>
          </w:rPr>
          <w:t>http://oiprd.on.ca/wp-content/uploads/OIPRD-BrokenTrust-Final-Accessible-E.pdf</w:t>
        </w:r>
      </w:hyperlink>
      <w:r w:rsidR="008517B1">
        <w:t>.</w:t>
      </w:r>
    </w:p>
    <w:p w14:paraId="4E326776" w14:textId="77777777" w:rsidR="00FE07C3" w:rsidRDefault="00F120B9" w:rsidP="00FE07C3">
      <w:pPr>
        <w:spacing w:line="480" w:lineRule="auto"/>
        <w:ind w:firstLine="720"/>
        <w:rPr>
          <w:rFonts w:ascii="Cambria" w:hAnsi="Cambria"/>
        </w:rPr>
      </w:pPr>
      <w:r>
        <w:rPr>
          <w:rFonts w:ascii="Cambria" w:hAnsi="Cambria"/>
          <w:sz w:val="22"/>
          <w:szCs w:val="22"/>
        </w:rPr>
        <w:t xml:space="preserve">Ontario Ministry of Finance. </w:t>
      </w:r>
      <w:r w:rsidR="00576672">
        <w:rPr>
          <w:rFonts w:ascii="Cambria" w:hAnsi="Cambria"/>
          <w:sz w:val="22"/>
          <w:szCs w:val="22"/>
        </w:rPr>
        <w:t>(</w:t>
      </w:r>
      <w:r>
        <w:rPr>
          <w:rFonts w:ascii="Cambria" w:hAnsi="Cambria"/>
          <w:sz w:val="22"/>
          <w:szCs w:val="22"/>
        </w:rPr>
        <w:t>2016</w:t>
      </w:r>
      <w:r w:rsidR="00576672">
        <w:rPr>
          <w:rFonts w:ascii="Cambria" w:hAnsi="Cambria"/>
          <w:sz w:val="22"/>
          <w:szCs w:val="22"/>
        </w:rPr>
        <w:t>).</w:t>
      </w:r>
      <w:r>
        <w:rPr>
          <w:rFonts w:ascii="Cambria" w:hAnsi="Cambria"/>
          <w:sz w:val="22"/>
          <w:szCs w:val="22"/>
        </w:rPr>
        <w:t xml:space="preserve"> </w:t>
      </w:r>
      <w:r w:rsidRPr="00576672">
        <w:rPr>
          <w:rFonts w:ascii="Cambria" w:hAnsi="Cambria"/>
          <w:i/>
          <w:sz w:val="22"/>
          <w:szCs w:val="22"/>
        </w:rPr>
        <w:t>Census highlights: Aboriginal peoples of Ontario</w:t>
      </w:r>
      <w:r>
        <w:rPr>
          <w:rFonts w:ascii="Cambria" w:hAnsi="Cambria"/>
          <w:sz w:val="22"/>
          <w:szCs w:val="22"/>
        </w:rPr>
        <w:t xml:space="preserve">. </w:t>
      </w:r>
      <w:r w:rsidRPr="00233666">
        <w:rPr>
          <w:rFonts w:ascii="Cambria" w:hAnsi="Cambria"/>
          <w:sz w:val="22"/>
          <w:szCs w:val="22"/>
        </w:rPr>
        <w:t xml:space="preserve">Retrieved from </w:t>
      </w:r>
      <w:hyperlink r:id="rId18" w:history="1">
        <w:r w:rsidRPr="00233666">
          <w:rPr>
            <w:rFonts w:ascii="Cambria" w:hAnsi="Cambria"/>
            <w:color w:val="0000FF"/>
            <w:sz w:val="22"/>
            <w:szCs w:val="22"/>
            <w:u w:val="single"/>
          </w:rPr>
          <w:t>https://www.fin.gov.on.ca/en/economy/demographics/census/cenhi16-10.html</w:t>
        </w:r>
      </w:hyperlink>
    </w:p>
    <w:p w14:paraId="6AB91E56" w14:textId="7EB7E95D" w:rsidR="008517B1" w:rsidRDefault="008517B1" w:rsidP="00FE07C3">
      <w:pPr>
        <w:spacing w:line="480" w:lineRule="auto"/>
        <w:ind w:firstLine="720"/>
        <w:rPr>
          <w:rFonts w:ascii="Cambria" w:hAnsi="Cambria"/>
        </w:rPr>
      </w:pPr>
      <w:r>
        <w:rPr>
          <w:rFonts w:ascii="Cambria" w:hAnsi="Cambria"/>
        </w:rPr>
        <w:t xml:space="preserve">Sinclair, M. (2018, December). </w:t>
      </w:r>
      <w:r w:rsidR="00262C82" w:rsidRPr="00F30B79">
        <w:rPr>
          <w:rFonts w:ascii="Cambria" w:hAnsi="Cambria"/>
          <w:i/>
        </w:rPr>
        <w:t>Thunder Bay Police Services Board</w:t>
      </w:r>
      <w:r w:rsidR="00FE07C3" w:rsidRPr="00F30B79">
        <w:rPr>
          <w:rFonts w:ascii="Cambria" w:hAnsi="Cambria"/>
          <w:i/>
        </w:rPr>
        <w:t xml:space="preserve"> Investigation: Final Report</w:t>
      </w:r>
      <w:r w:rsidR="00FE07C3">
        <w:rPr>
          <w:rFonts w:ascii="Cambria" w:hAnsi="Cambria"/>
        </w:rPr>
        <w:t xml:space="preserve">. Retrieved from </w:t>
      </w:r>
      <w:hyperlink r:id="rId19" w:history="1">
        <w:r w:rsidR="00FE07C3">
          <w:rPr>
            <w:rStyle w:val="Hyperlink"/>
          </w:rPr>
          <w:t>https://slasto-tsapno.gov.on.ca/ocpc-ccop/wp-content/uploads/sites/5/2018/12/TBPSB_Investigation_Final_Report_-_EN-FINAL-1.pdf</w:t>
        </w:r>
      </w:hyperlink>
    </w:p>
    <w:p w14:paraId="75CF6ED4" w14:textId="02BB6909" w:rsidR="00F120B9" w:rsidRDefault="00F120B9" w:rsidP="00F120B9">
      <w:pPr>
        <w:spacing w:line="480" w:lineRule="auto"/>
        <w:ind w:firstLine="720"/>
        <w:rPr>
          <w:rFonts w:ascii="Cambria" w:hAnsi="Cambria"/>
        </w:rPr>
      </w:pPr>
      <w:r>
        <w:rPr>
          <w:rFonts w:ascii="Cambria" w:hAnsi="Cambria"/>
        </w:rPr>
        <w:t xml:space="preserve">Statistics Canada (2014). General Social Survey on Victimization. Retrieved from </w:t>
      </w:r>
      <w:hyperlink r:id="rId20" w:history="1">
        <w:r w:rsidRPr="00F120B9">
          <w:rPr>
            <w:color w:val="0000FF"/>
            <w:u w:val="single"/>
          </w:rPr>
          <w:t>http://www23.statcan.gc.ca/imdb/p2SV.pl?Function=getSurvey&amp;SDDS=4504</w:t>
        </w:r>
      </w:hyperlink>
    </w:p>
    <w:p w14:paraId="310C75A4" w14:textId="202D4716" w:rsidR="009869AB" w:rsidRPr="00AC1F12" w:rsidRDefault="009869AB" w:rsidP="00987616">
      <w:pPr>
        <w:spacing w:line="480" w:lineRule="auto"/>
        <w:ind w:firstLine="720"/>
        <w:rPr>
          <w:rFonts w:ascii="Cambria" w:hAnsi="Cambria"/>
        </w:rPr>
      </w:pPr>
      <w:r w:rsidRPr="00AC1F12">
        <w:rPr>
          <w:rFonts w:ascii="Cambria" w:hAnsi="Cambria"/>
        </w:rPr>
        <w:lastRenderedPageBreak/>
        <w:t>Tyler, T.R. (2004). Enhancing police legitimacy. The Annals of the American Academy of Political and Social Science, 593(1), p. 85.</w:t>
      </w:r>
    </w:p>
    <w:p w14:paraId="63B25FF7" w14:textId="77777777" w:rsidR="005942C2" w:rsidRPr="003A2541" w:rsidRDefault="005942C2" w:rsidP="00987616">
      <w:pPr>
        <w:spacing w:line="480" w:lineRule="auto"/>
        <w:rPr>
          <w:rFonts w:ascii="Cambria" w:hAnsi="Cambria"/>
        </w:rPr>
      </w:pPr>
    </w:p>
    <w:p w14:paraId="18907A65" w14:textId="77777777" w:rsidR="00CE5A0E" w:rsidRPr="003A2541" w:rsidRDefault="00CE5A0E" w:rsidP="00987616">
      <w:pPr>
        <w:spacing w:line="480" w:lineRule="auto"/>
        <w:rPr>
          <w:rFonts w:ascii="Cambria" w:hAnsi="Cambria"/>
        </w:rPr>
      </w:pPr>
    </w:p>
    <w:sectPr w:rsidR="00CE5A0E" w:rsidRPr="003A2541" w:rsidSect="00AD78BA">
      <w:headerReference w:type="even" r:id="rId21"/>
      <w:head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826B8" w14:textId="77777777" w:rsidR="0039479A" w:rsidRDefault="0039479A" w:rsidP="001F68E2">
      <w:r>
        <w:separator/>
      </w:r>
    </w:p>
  </w:endnote>
  <w:endnote w:type="continuationSeparator" w:id="0">
    <w:p w14:paraId="209A8D66" w14:textId="77777777" w:rsidR="0039479A" w:rsidRDefault="0039479A" w:rsidP="001F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D78B3" w14:textId="77777777" w:rsidR="0039479A" w:rsidRDefault="0039479A" w:rsidP="001F68E2">
      <w:r>
        <w:separator/>
      </w:r>
    </w:p>
  </w:footnote>
  <w:footnote w:type="continuationSeparator" w:id="0">
    <w:p w14:paraId="50B9C729" w14:textId="77777777" w:rsidR="0039479A" w:rsidRDefault="0039479A" w:rsidP="001F6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2865871"/>
      <w:docPartObj>
        <w:docPartGallery w:val="Page Numbers (Top of Page)"/>
        <w:docPartUnique/>
      </w:docPartObj>
    </w:sdtPr>
    <w:sdtEndPr>
      <w:rPr>
        <w:rStyle w:val="PageNumber"/>
      </w:rPr>
    </w:sdtEndPr>
    <w:sdtContent>
      <w:p w14:paraId="31D69C2E" w14:textId="5520410D" w:rsidR="00F120B9" w:rsidRDefault="00F120B9" w:rsidP="00AD78B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C83645" w14:textId="77777777" w:rsidR="00F120B9" w:rsidRDefault="00F120B9" w:rsidP="001F68E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8373308"/>
      <w:docPartObj>
        <w:docPartGallery w:val="Page Numbers (Top of Page)"/>
        <w:docPartUnique/>
      </w:docPartObj>
    </w:sdtPr>
    <w:sdtEndPr>
      <w:rPr>
        <w:rStyle w:val="PageNumber"/>
      </w:rPr>
    </w:sdtEndPr>
    <w:sdtContent>
      <w:p w14:paraId="55F4717F" w14:textId="3B4E3FF8" w:rsidR="00F120B9" w:rsidRDefault="00F120B9" w:rsidP="00AD78B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E34A9A" w14:textId="3D3BDF57" w:rsidR="00F120B9" w:rsidRDefault="00F120B9" w:rsidP="00BE1123">
    <w:pPr>
      <w:spacing w:line="480" w:lineRule="auto"/>
      <w:ind w:firstLine="720"/>
      <w:jc w:val="center"/>
      <w:rPr>
        <w:rFonts w:ascii="Cambria" w:hAnsi="Cambria"/>
        <w:b/>
      </w:rPr>
    </w:pPr>
    <w:r>
      <w:rPr>
        <w:rFonts w:ascii="Cambria" w:hAnsi="Cambria"/>
        <w:b/>
      </w:rPr>
      <w:t>CSS 2018: Comparisons of results</w:t>
    </w:r>
  </w:p>
  <w:p w14:paraId="72919455" w14:textId="77777777" w:rsidR="00F120B9" w:rsidRDefault="00F120B9" w:rsidP="001F68E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4039"/>
    <w:multiLevelType w:val="hybridMultilevel"/>
    <w:tmpl w:val="8EF0276A"/>
    <w:lvl w:ilvl="0" w:tplc="E4EE0F70">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E64FD"/>
    <w:multiLevelType w:val="hybridMultilevel"/>
    <w:tmpl w:val="A68CB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EE51CD"/>
    <w:multiLevelType w:val="hybridMultilevel"/>
    <w:tmpl w:val="489E61A8"/>
    <w:lvl w:ilvl="0" w:tplc="2BB07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7F6B93"/>
    <w:multiLevelType w:val="hybridMultilevel"/>
    <w:tmpl w:val="98E406CA"/>
    <w:lvl w:ilvl="0" w:tplc="F31033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A16363"/>
    <w:multiLevelType w:val="hybridMultilevel"/>
    <w:tmpl w:val="2DE28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B383B"/>
    <w:multiLevelType w:val="hybridMultilevel"/>
    <w:tmpl w:val="312CD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53CC9"/>
    <w:multiLevelType w:val="hybridMultilevel"/>
    <w:tmpl w:val="EC46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A3"/>
    <w:rsid w:val="00003769"/>
    <w:rsid w:val="00010049"/>
    <w:rsid w:val="00040DF0"/>
    <w:rsid w:val="000417F7"/>
    <w:rsid w:val="000517C0"/>
    <w:rsid w:val="00052DAE"/>
    <w:rsid w:val="00061EF4"/>
    <w:rsid w:val="000645E9"/>
    <w:rsid w:val="00064C7B"/>
    <w:rsid w:val="0007404B"/>
    <w:rsid w:val="00076A56"/>
    <w:rsid w:val="000824D1"/>
    <w:rsid w:val="00084535"/>
    <w:rsid w:val="0009103E"/>
    <w:rsid w:val="0009339D"/>
    <w:rsid w:val="00094372"/>
    <w:rsid w:val="00096612"/>
    <w:rsid w:val="000A1FB1"/>
    <w:rsid w:val="000A241A"/>
    <w:rsid w:val="000D0E70"/>
    <w:rsid w:val="000E06CE"/>
    <w:rsid w:val="000E1550"/>
    <w:rsid w:val="000E1A16"/>
    <w:rsid w:val="000E7A4E"/>
    <w:rsid w:val="001065CB"/>
    <w:rsid w:val="0011057C"/>
    <w:rsid w:val="00117BDF"/>
    <w:rsid w:val="001216FE"/>
    <w:rsid w:val="00124B8D"/>
    <w:rsid w:val="001419F6"/>
    <w:rsid w:val="0014317F"/>
    <w:rsid w:val="00164A08"/>
    <w:rsid w:val="00166DE8"/>
    <w:rsid w:val="00167F7C"/>
    <w:rsid w:val="0017585D"/>
    <w:rsid w:val="00180ABC"/>
    <w:rsid w:val="00192FC4"/>
    <w:rsid w:val="001B49B1"/>
    <w:rsid w:val="001C4E9B"/>
    <w:rsid w:val="001D5D78"/>
    <w:rsid w:val="001F4BF3"/>
    <w:rsid w:val="001F68E2"/>
    <w:rsid w:val="00200329"/>
    <w:rsid w:val="00203C89"/>
    <w:rsid w:val="00204390"/>
    <w:rsid w:val="002254FC"/>
    <w:rsid w:val="00233666"/>
    <w:rsid w:val="00262C82"/>
    <w:rsid w:val="00270A55"/>
    <w:rsid w:val="00274A7C"/>
    <w:rsid w:val="00275C57"/>
    <w:rsid w:val="002774F5"/>
    <w:rsid w:val="00281B6A"/>
    <w:rsid w:val="00284080"/>
    <w:rsid w:val="0028552D"/>
    <w:rsid w:val="00286DAF"/>
    <w:rsid w:val="00293855"/>
    <w:rsid w:val="002A3D59"/>
    <w:rsid w:val="002A51ED"/>
    <w:rsid w:val="002A5365"/>
    <w:rsid w:val="002B10D2"/>
    <w:rsid w:val="002D3ACE"/>
    <w:rsid w:val="002D7878"/>
    <w:rsid w:val="002E50E1"/>
    <w:rsid w:val="002E67E1"/>
    <w:rsid w:val="002F4BE5"/>
    <w:rsid w:val="002F56D5"/>
    <w:rsid w:val="002F5A0D"/>
    <w:rsid w:val="00301106"/>
    <w:rsid w:val="003129F8"/>
    <w:rsid w:val="0035189F"/>
    <w:rsid w:val="003652BE"/>
    <w:rsid w:val="00380F7B"/>
    <w:rsid w:val="0038245A"/>
    <w:rsid w:val="003858CA"/>
    <w:rsid w:val="00393F7B"/>
    <w:rsid w:val="0039479A"/>
    <w:rsid w:val="003A2541"/>
    <w:rsid w:val="003A4025"/>
    <w:rsid w:val="003A7889"/>
    <w:rsid w:val="003B0848"/>
    <w:rsid w:val="003C3124"/>
    <w:rsid w:val="003D3108"/>
    <w:rsid w:val="003D5C46"/>
    <w:rsid w:val="003E0922"/>
    <w:rsid w:val="003E4142"/>
    <w:rsid w:val="003E4CD6"/>
    <w:rsid w:val="00410225"/>
    <w:rsid w:val="00412242"/>
    <w:rsid w:val="004124D6"/>
    <w:rsid w:val="00416D34"/>
    <w:rsid w:val="004228FD"/>
    <w:rsid w:val="00430936"/>
    <w:rsid w:val="0044076B"/>
    <w:rsid w:val="00447616"/>
    <w:rsid w:val="004477B3"/>
    <w:rsid w:val="004545F2"/>
    <w:rsid w:val="004563E3"/>
    <w:rsid w:val="00480FAF"/>
    <w:rsid w:val="00487FCB"/>
    <w:rsid w:val="004D0B91"/>
    <w:rsid w:val="004E1715"/>
    <w:rsid w:val="004E303D"/>
    <w:rsid w:val="004E3974"/>
    <w:rsid w:val="004F4E58"/>
    <w:rsid w:val="004F5954"/>
    <w:rsid w:val="00502A50"/>
    <w:rsid w:val="00506CD9"/>
    <w:rsid w:val="0050728B"/>
    <w:rsid w:val="00512991"/>
    <w:rsid w:val="00520613"/>
    <w:rsid w:val="00535777"/>
    <w:rsid w:val="0055382B"/>
    <w:rsid w:val="005544C8"/>
    <w:rsid w:val="00557ABA"/>
    <w:rsid w:val="0056020D"/>
    <w:rsid w:val="005633E3"/>
    <w:rsid w:val="00564B04"/>
    <w:rsid w:val="00576672"/>
    <w:rsid w:val="00577DD5"/>
    <w:rsid w:val="0059215C"/>
    <w:rsid w:val="005942C2"/>
    <w:rsid w:val="00594F56"/>
    <w:rsid w:val="005B2A76"/>
    <w:rsid w:val="005C393D"/>
    <w:rsid w:val="005D6B3C"/>
    <w:rsid w:val="005E4EF1"/>
    <w:rsid w:val="0060502F"/>
    <w:rsid w:val="006068C4"/>
    <w:rsid w:val="00611939"/>
    <w:rsid w:val="0062269C"/>
    <w:rsid w:val="00623D30"/>
    <w:rsid w:val="006252D4"/>
    <w:rsid w:val="006338AC"/>
    <w:rsid w:val="0063686B"/>
    <w:rsid w:val="00641242"/>
    <w:rsid w:val="0064164C"/>
    <w:rsid w:val="00641FD2"/>
    <w:rsid w:val="00651727"/>
    <w:rsid w:val="00652FAE"/>
    <w:rsid w:val="00666EA6"/>
    <w:rsid w:val="0067128C"/>
    <w:rsid w:val="00673A90"/>
    <w:rsid w:val="006828EC"/>
    <w:rsid w:val="006A2923"/>
    <w:rsid w:val="006B563E"/>
    <w:rsid w:val="006C4C9A"/>
    <w:rsid w:val="006C658D"/>
    <w:rsid w:val="006D7A17"/>
    <w:rsid w:val="006E18F1"/>
    <w:rsid w:val="00704CC9"/>
    <w:rsid w:val="00706154"/>
    <w:rsid w:val="00710BB9"/>
    <w:rsid w:val="007148F1"/>
    <w:rsid w:val="00716914"/>
    <w:rsid w:val="007274A0"/>
    <w:rsid w:val="007342B3"/>
    <w:rsid w:val="00743B58"/>
    <w:rsid w:val="00744515"/>
    <w:rsid w:val="00754A6D"/>
    <w:rsid w:val="007555C2"/>
    <w:rsid w:val="007629A3"/>
    <w:rsid w:val="00763791"/>
    <w:rsid w:val="007643CF"/>
    <w:rsid w:val="00766A5E"/>
    <w:rsid w:val="00775BA9"/>
    <w:rsid w:val="00776EAA"/>
    <w:rsid w:val="00784CC7"/>
    <w:rsid w:val="007907B2"/>
    <w:rsid w:val="00791AE4"/>
    <w:rsid w:val="007B2D37"/>
    <w:rsid w:val="007E0E7E"/>
    <w:rsid w:val="007E33D6"/>
    <w:rsid w:val="007E7353"/>
    <w:rsid w:val="008005B9"/>
    <w:rsid w:val="00801371"/>
    <w:rsid w:val="00803AD6"/>
    <w:rsid w:val="00805192"/>
    <w:rsid w:val="0081074A"/>
    <w:rsid w:val="00813D2B"/>
    <w:rsid w:val="0082730A"/>
    <w:rsid w:val="00843AD5"/>
    <w:rsid w:val="00847972"/>
    <w:rsid w:val="00850AB6"/>
    <w:rsid w:val="008517B1"/>
    <w:rsid w:val="00874DA7"/>
    <w:rsid w:val="00881A56"/>
    <w:rsid w:val="00884619"/>
    <w:rsid w:val="008851FA"/>
    <w:rsid w:val="00896774"/>
    <w:rsid w:val="008A5FB8"/>
    <w:rsid w:val="008C125E"/>
    <w:rsid w:val="008C5645"/>
    <w:rsid w:val="008D1CA9"/>
    <w:rsid w:val="008D1D4F"/>
    <w:rsid w:val="008D4FB7"/>
    <w:rsid w:val="009342A7"/>
    <w:rsid w:val="00940584"/>
    <w:rsid w:val="009507A4"/>
    <w:rsid w:val="00953E41"/>
    <w:rsid w:val="0096126E"/>
    <w:rsid w:val="00964B03"/>
    <w:rsid w:val="00967456"/>
    <w:rsid w:val="00974989"/>
    <w:rsid w:val="009869AB"/>
    <w:rsid w:val="00987616"/>
    <w:rsid w:val="00993F8A"/>
    <w:rsid w:val="00995023"/>
    <w:rsid w:val="0099541A"/>
    <w:rsid w:val="009A1DA9"/>
    <w:rsid w:val="009A3964"/>
    <w:rsid w:val="009B663D"/>
    <w:rsid w:val="009D2AED"/>
    <w:rsid w:val="009D3658"/>
    <w:rsid w:val="009D46DF"/>
    <w:rsid w:val="009E229C"/>
    <w:rsid w:val="009E690E"/>
    <w:rsid w:val="009E6BD3"/>
    <w:rsid w:val="009F7B32"/>
    <w:rsid w:val="00A03CA5"/>
    <w:rsid w:val="00A11D1C"/>
    <w:rsid w:val="00A16371"/>
    <w:rsid w:val="00A17A4B"/>
    <w:rsid w:val="00A533F1"/>
    <w:rsid w:val="00A60346"/>
    <w:rsid w:val="00A64C9C"/>
    <w:rsid w:val="00A72983"/>
    <w:rsid w:val="00A72ADC"/>
    <w:rsid w:val="00A73141"/>
    <w:rsid w:val="00AA385F"/>
    <w:rsid w:val="00AA3EB8"/>
    <w:rsid w:val="00AA489F"/>
    <w:rsid w:val="00AB13CB"/>
    <w:rsid w:val="00AB4919"/>
    <w:rsid w:val="00AC04DA"/>
    <w:rsid w:val="00AC1F12"/>
    <w:rsid w:val="00AD78BA"/>
    <w:rsid w:val="00AE13D4"/>
    <w:rsid w:val="00AF32A7"/>
    <w:rsid w:val="00AF7670"/>
    <w:rsid w:val="00B102AA"/>
    <w:rsid w:val="00B11AFD"/>
    <w:rsid w:val="00B246AD"/>
    <w:rsid w:val="00B3393D"/>
    <w:rsid w:val="00B42C76"/>
    <w:rsid w:val="00B51B0A"/>
    <w:rsid w:val="00B53E3D"/>
    <w:rsid w:val="00B56708"/>
    <w:rsid w:val="00B61028"/>
    <w:rsid w:val="00B71905"/>
    <w:rsid w:val="00B73E25"/>
    <w:rsid w:val="00B836C0"/>
    <w:rsid w:val="00B8372D"/>
    <w:rsid w:val="00B90E74"/>
    <w:rsid w:val="00B95B0A"/>
    <w:rsid w:val="00BA3F4E"/>
    <w:rsid w:val="00BB144F"/>
    <w:rsid w:val="00BB3387"/>
    <w:rsid w:val="00BC045A"/>
    <w:rsid w:val="00BC7FBE"/>
    <w:rsid w:val="00BE1123"/>
    <w:rsid w:val="00BE2F00"/>
    <w:rsid w:val="00BF036E"/>
    <w:rsid w:val="00C0004B"/>
    <w:rsid w:val="00C0495E"/>
    <w:rsid w:val="00C06F2E"/>
    <w:rsid w:val="00C13B80"/>
    <w:rsid w:val="00C3098F"/>
    <w:rsid w:val="00C30DDC"/>
    <w:rsid w:val="00C34B41"/>
    <w:rsid w:val="00C40634"/>
    <w:rsid w:val="00C47553"/>
    <w:rsid w:val="00C5717C"/>
    <w:rsid w:val="00C57B2B"/>
    <w:rsid w:val="00C607C3"/>
    <w:rsid w:val="00C6627C"/>
    <w:rsid w:val="00C80305"/>
    <w:rsid w:val="00C85BC3"/>
    <w:rsid w:val="00C92D8D"/>
    <w:rsid w:val="00CA3214"/>
    <w:rsid w:val="00CB2CFE"/>
    <w:rsid w:val="00CB7181"/>
    <w:rsid w:val="00CC0433"/>
    <w:rsid w:val="00CC557B"/>
    <w:rsid w:val="00CE3197"/>
    <w:rsid w:val="00CE5A0E"/>
    <w:rsid w:val="00CE68B8"/>
    <w:rsid w:val="00CE68C9"/>
    <w:rsid w:val="00CF3461"/>
    <w:rsid w:val="00CF3667"/>
    <w:rsid w:val="00D02A04"/>
    <w:rsid w:val="00D059F6"/>
    <w:rsid w:val="00D3045C"/>
    <w:rsid w:val="00D304C7"/>
    <w:rsid w:val="00D33982"/>
    <w:rsid w:val="00D378D2"/>
    <w:rsid w:val="00D44A01"/>
    <w:rsid w:val="00D5414B"/>
    <w:rsid w:val="00D54F65"/>
    <w:rsid w:val="00D64082"/>
    <w:rsid w:val="00D66F65"/>
    <w:rsid w:val="00D75B6A"/>
    <w:rsid w:val="00D81315"/>
    <w:rsid w:val="00D813CF"/>
    <w:rsid w:val="00D83C46"/>
    <w:rsid w:val="00DA5CAF"/>
    <w:rsid w:val="00DA6E42"/>
    <w:rsid w:val="00DB768B"/>
    <w:rsid w:val="00DC1A5D"/>
    <w:rsid w:val="00DD1B3E"/>
    <w:rsid w:val="00DD2600"/>
    <w:rsid w:val="00DF74C0"/>
    <w:rsid w:val="00E4609E"/>
    <w:rsid w:val="00E47247"/>
    <w:rsid w:val="00E51F15"/>
    <w:rsid w:val="00E54D68"/>
    <w:rsid w:val="00E57E21"/>
    <w:rsid w:val="00E64F78"/>
    <w:rsid w:val="00E779BA"/>
    <w:rsid w:val="00E9363B"/>
    <w:rsid w:val="00EA0A68"/>
    <w:rsid w:val="00EB1EA1"/>
    <w:rsid w:val="00EB62FB"/>
    <w:rsid w:val="00EC0A81"/>
    <w:rsid w:val="00EC16C1"/>
    <w:rsid w:val="00EC531F"/>
    <w:rsid w:val="00EE2AA0"/>
    <w:rsid w:val="00EE49A6"/>
    <w:rsid w:val="00EF225F"/>
    <w:rsid w:val="00EF372E"/>
    <w:rsid w:val="00F06A2D"/>
    <w:rsid w:val="00F120B9"/>
    <w:rsid w:val="00F23AA1"/>
    <w:rsid w:val="00F26920"/>
    <w:rsid w:val="00F2735C"/>
    <w:rsid w:val="00F30B79"/>
    <w:rsid w:val="00F30DF6"/>
    <w:rsid w:val="00F4217E"/>
    <w:rsid w:val="00F424AC"/>
    <w:rsid w:val="00F43C94"/>
    <w:rsid w:val="00F470DE"/>
    <w:rsid w:val="00F65E11"/>
    <w:rsid w:val="00F677A1"/>
    <w:rsid w:val="00F74577"/>
    <w:rsid w:val="00F768B5"/>
    <w:rsid w:val="00F8716C"/>
    <w:rsid w:val="00F92CF4"/>
    <w:rsid w:val="00F9471E"/>
    <w:rsid w:val="00F96662"/>
    <w:rsid w:val="00FA6E55"/>
    <w:rsid w:val="00FB60E2"/>
    <w:rsid w:val="00FE07C3"/>
    <w:rsid w:val="00FE10AC"/>
    <w:rsid w:val="00FE2D9E"/>
    <w:rsid w:val="00FF0A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24A2AB5"/>
  <w15:chartTrackingRefBased/>
  <w15:docId w15:val="{DC722F3A-8B3E-5B40-8337-B2F7582E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672"/>
    <w:rPr>
      <w:rFonts w:ascii="Times New Roman" w:eastAsia="Times New Roman" w:hAnsi="Times New Roman" w:cs="Times New Roman"/>
    </w:rPr>
  </w:style>
  <w:style w:type="paragraph" w:styleId="Heading1">
    <w:name w:val="heading 1"/>
    <w:basedOn w:val="Normal"/>
    <w:next w:val="Normal"/>
    <w:link w:val="Heading1Char"/>
    <w:uiPriority w:val="9"/>
    <w:qFormat/>
    <w:rsid w:val="007629A3"/>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42C2"/>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9A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629A3"/>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5942C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338A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38AC"/>
    <w:rPr>
      <w:sz w:val="16"/>
      <w:szCs w:val="16"/>
    </w:rPr>
  </w:style>
  <w:style w:type="paragraph" w:styleId="CommentText">
    <w:name w:val="annotation text"/>
    <w:basedOn w:val="Normal"/>
    <w:link w:val="CommentTextChar"/>
    <w:uiPriority w:val="99"/>
    <w:semiHidden/>
    <w:unhideWhenUsed/>
    <w:rsid w:val="006338A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338AC"/>
    <w:rPr>
      <w:sz w:val="20"/>
      <w:szCs w:val="20"/>
    </w:rPr>
  </w:style>
  <w:style w:type="paragraph" w:styleId="BalloonText">
    <w:name w:val="Balloon Text"/>
    <w:basedOn w:val="Normal"/>
    <w:link w:val="BalloonTextChar"/>
    <w:uiPriority w:val="99"/>
    <w:semiHidden/>
    <w:unhideWhenUsed/>
    <w:rsid w:val="006338AC"/>
    <w:rPr>
      <w:sz w:val="18"/>
      <w:szCs w:val="18"/>
    </w:rPr>
  </w:style>
  <w:style w:type="character" w:customStyle="1" w:styleId="BalloonTextChar">
    <w:name w:val="Balloon Text Char"/>
    <w:basedOn w:val="DefaultParagraphFont"/>
    <w:link w:val="BalloonText"/>
    <w:uiPriority w:val="99"/>
    <w:semiHidden/>
    <w:rsid w:val="006338AC"/>
    <w:rPr>
      <w:rFonts w:ascii="Times New Roman" w:hAnsi="Times New Roman" w:cs="Times New Roman"/>
      <w:sz w:val="18"/>
      <w:szCs w:val="18"/>
    </w:rPr>
  </w:style>
  <w:style w:type="paragraph" w:styleId="Header">
    <w:name w:val="header"/>
    <w:basedOn w:val="Normal"/>
    <w:link w:val="HeaderChar"/>
    <w:uiPriority w:val="99"/>
    <w:unhideWhenUsed/>
    <w:rsid w:val="001F68E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68E2"/>
    <w:rPr>
      <w:sz w:val="22"/>
      <w:szCs w:val="22"/>
    </w:rPr>
  </w:style>
  <w:style w:type="character" w:styleId="PageNumber">
    <w:name w:val="page number"/>
    <w:basedOn w:val="DefaultParagraphFont"/>
    <w:uiPriority w:val="99"/>
    <w:semiHidden/>
    <w:unhideWhenUsed/>
    <w:rsid w:val="001F68E2"/>
  </w:style>
  <w:style w:type="paragraph" w:styleId="Footer">
    <w:name w:val="footer"/>
    <w:basedOn w:val="Normal"/>
    <w:link w:val="FooterChar"/>
    <w:uiPriority w:val="99"/>
    <w:unhideWhenUsed/>
    <w:rsid w:val="00BE11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E1123"/>
    <w:rPr>
      <w:sz w:val="22"/>
      <w:szCs w:val="22"/>
    </w:rPr>
  </w:style>
  <w:style w:type="character" w:styleId="Hyperlink">
    <w:name w:val="Hyperlink"/>
    <w:basedOn w:val="DefaultParagraphFont"/>
    <w:uiPriority w:val="99"/>
    <w:unhideWhenUsed/>
    <w:rsid w:val="0055382B"/>
    <w:rPr>
      <w:color w:val="0000FF"/>
      <w:u w:val="single"/>
    </w:rPr>
  </w:style>
  <w:style w:type="character" w:styleId="FollowedHyperlink">
    <w:name w:val="FollowedHyperlink"/>
    <w:basedOn w:val="DefaultParagraphFont"/>
    <w:uiPriority w:val="99"/>
    <w:semiHidden/>
    <w:unhideWhenUsed/>
    <w:rsid w:val="0099541A"/>
    <w:rPr>
      <w:color w:val="954F72" w:themeColor="followedHyperlink"/>
      <w:u w:val="single"/>
    </w:rPr>
  </w:style>
  <w:style w:type="character" w:styleId="UnresolvedMention">
    <w:name w:val="Unresolved Mention"/>
    <w:basedOn w:val="DefaultParagraphFont"/>
    <w:uiPriority w:val="99"/>
    <w:semiHidden/>
    <w:unhideWhenUsed/>
    <w:rsid w:val="00D44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1782">
      <w:bodyDiv w:val="1"/>
      <w:marLeft w:val="0"/>
      <w:marRight w:val="0"/>
      <w:marTop w:val="0"/>
      <w:marBottom w:val="0"/>
      <w:divBdr>
        <w:top w:val="none" w:sz="0" w:space="0" w:color="auto"/>
        <w:left w:val="none" w:sz="0" w:space="0" w:color="auto"/>
        <w:bottom w:val="none" w:sz="0" w:space="0" w:color="auto"/>
        <w:right w:val="none" w:sz="0" w:space="0" w:color="auto"/>
      </w:divBdr>
    </w:div>
    <w:div w:id="40250591">
      <w:bodyDiv w:val="1"/>
      <w:marLeft w:val="0"/>
      <w:marRight w:val="0"/>
      <w:marTop w:val="0"/>
      <w:marBottom w:val="0"/>
      <w:divBdr>
        <w:top w:val="none" w:sz="0" w:space="0" w:color="auto"/>
        <w:left w:val="none" w:sz="0" w:space="0" w:color="auto"/>
        <w:bottom w:val="none" w:sz="0" w:space="0" w:color="auto"/>
        <w:right w:val="none" w:sz="0" w:space="0" w:color="auto"/>
      </w:divBdr>
    </w:div>
    <w:div w:id="91898218">
      <w:bodyDiv w:val="1"/>
      <w:marLeft w:val="0"/>
      <w:marRight w:val="0"/>
      <w:marTop w:val="0"/>
      <w:marBottom w:val="0"/>
      <w:divBdr>
        <w:top w:val="none" w:sz="0" w:space="0" w:color="auto"/>
        <w:left w:val="none" w:sz="0" w:space="0" w:color="auto"/>
        <w:bottom w:val="none" w:sz="0" w:space="0" w:color="auto"/>
        <w:right w:val="none" w:sz="0" w:space="0" w:color="auto"/>
      </w:divBdr>
    </w:div>
    <w:div w:id="263541175">
      <w:bodyDiv w:val="1"/>
      <w:marLeft w:val="0"/>
      <w:marRight w:val="0"/>
      <w:marTop w:val="0"/>
      <w:marBottom w:val="0"/>
      <w:divBdr>
        <w:top w:val="none" w:sz="0" w:space="0" w:color="auto"/>
        <w:left w:val="none" w:sz="0" w:space="0" w:color="auto"/>
        <w:bottom w:val="none" w:sz="0" w:space="0" w:color="auto"/>
        <w:right w:val="none" w:sz="0" w:space="0" w:color="auto"/>
      </w:divBdr>
      <w:divsChild>
        <w:div w:id="830174671">
          <w:marLeft w:val="0"/>
          <w:marRight w:val="0"/>
          <w:marTop w:val="0"/>
          <w:marBottom w:val="0"/>
          <w:divBdr>
            <w:top w:val="none" w:sz="0" w:space="0" w:color="auto"/>
            <w:left w:val="none" w:sz="0" w:space="0" w:color="auto"/>
            <w:bottom w:val="none" w:sz="0" w:space="0" w:color="auto"/>
            <w:right w:val="none" w:sz="0" w:space="0" w:color="auto"/>
          </w:divBdr>
        </w:div>
        <w:div w:id="536508038">
          <w:marLeft w:val="0"/>
          <w:marRight w:val="0"/>
          <w:marTop w:val="0"/>
          <w:marBottom w:val="0"/>
          <w:divBdr>
            <w:top w:val="none" w:sz="0" w:space="0" w:color="auto"/>
            <w:left w:val="none" w:sz="0" w:space="0" w:color="auto"/>
            <w:bottom w:val="none" w:sz="0" w:space="0" w:color="auto"/>
            <w:right w:val="none" w:sz="0" w:space="0" w:color="auto"/>
          </w:divBdr>
        </w:div>
        <w:div w:id="808784841">
          <w:marLeft w:val="0"/>
          <w:marRight w:val="0"/>
          <w:marTop w:val="0"/>
          <w:marBottom w:val="0"/>
          <w:divBdr>
            <w:top w:val="none" w:sz="0" w:space="0" w:color="auto"/>
            <w:left w:val="none" w:sz="0" w:space="0" w:color="auto"/>
            <w:bottom w:val="none" w:sz="0" w:space="0" w:color="auto"/>
            <w:right w:val="none" w:sz="0" w:space="0" w:color="auto"/>
          </w:divBdr>
        </w:div>
      </w:divsChild>
    </w:div>
    <w:div w:id="303585143">
      <w:bodyDiv w:val="1"/>
      <w:marLeft w:val="0"/>
      <w:marRight w:val="0"/>
      <w:marTop w:val="0"/>
      <w:marBottom w:val="0"/>
      <w:divBdr>
        <w:top w:val="none" w:sz="0" w:space="0" w:color="auto"/>
        <w:left w:val="none" w:sz="0" w:space="0" w:color="auto"/>
        <w:bottom w:val="none" w:sz="0" w:space="0" w:color="auto"/>
        <w:right w:val="none" w:sz="0" w:space="0" w:color="auto"/>
      </w:divBdr>
    </w:div>
    <w:div w:id="543563421">
      <w:bodyDiv w:val="1"/>
      <w:marLeft w:val="0"/>
      <w:marRight w:val="0"/>
      <w:marTop w:val="0"/>
      <w:marBottom w:val="0"/>
      <w:divBdr>
        <w:top w:val="none" w:sz="0" w:space="0" w:color="auto"/>
        <w:left w:val="none" w:sz="0" w:space="0" w:color="auto"/>
        <w:bottom w:val="none" w:sz="0" w:space="0" w:color="auto"/>
        <w:right w:val="none" w:sz="0" w:space="0" w:color="auto"/>
      </w:divBdr>
    </w:div>
    <w:div w:id="1646934667">
      <w:bodyDiv w:val="1"/>
      <w:marLeft w:val="0"/>
      <w:marRight w:val="0"/>
      <w:marTop w:val="0"/>
      <w:marBottom w:val="0"/>
      <w:divBdr>
        <w:top w:val="none" w:sz="0" w:space="0" w:color="auto"/>
        <w:left w:val="none" w:sz="0" w:space="0" w:color="auto"/>
        <w:bottom w:val="none" w:sz="0" w:space="0" w:color="auto"/>
        <w:right w:val="none" w:sz="0" w:space="0" w:color="auto"/>
      </w:divBdr>
    </w:div>
    <w:div w:id="1651638417">
      <w:bodyDiv w:val="1"/>
      <w:marLeft w:val="0"/>
      <w:marRight w:val="0"/>
      <w:marTop w:val="0"/>
      <w:marBottom w:val="0"/>
      <w:divBdr>
        <w:top w:val="none" w:sz="0" w:space="0" w:color="auto"/>
        <w:left w:val="none" w:sz="0" w:space="0" w:color="auto"/>
        <w:bottom w:val="none" w:sz="0" w:space="0" w:color="auto"/>
        <w:right w:val="none" w:sz="0" w:space="0" w:color="auto"/>
      </w:divBdr>
    </w:div>
    <w:div w:id="167873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18" Type="http://schemas.openxmlformats.org/officeDocument/2006/relationships/hyperlink" Target="https://www.fin.gov.on.ca/en/economy/demographics/census/cenhi16-10.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hyperlink" Target="http://oiprd.on.ca/wp-content/uploads/OIPRD-BrokenTrust-Final-Accessible-E.pdf" TargetMode="External"/><Relationship Id="rId2" Type="http://schemas.openxmlformats.org/officeDocument/2006/relationships/styles" Target="styles.xml"/><Relationship Id="rId16" Type="http://schemas.openxmlformats.org/officeDocument/2006/relationships/hyperlink" Target="https://aptnnews.ca/2017/06/27/indigenous-deaths-in-thunder-bay-a-timeline/" TargetMode="External"/><Relationship Id="rId20" Type="http://schemas.openxmlformats.org/officeDocument/2006/relationships/hyperlink" Target="http://www23.statcan.gc.ca/imdb/p2SV.pl?Function=getSurvey&amp;SDDS=45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bc.ca/news/canada/thunder-bay/braiden-jacob-thunder-bay-homicide-1.4945521" TargetMode="Externa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s://slasto-tsapno.gov.on.ca/ocpc-ccop/wp-content/uploads/sites/5/2018/12/TBPSB_Investigation_Final_Report_-_EN-FINAL-1.pdf"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CA"/>
              <a:t>Have you had contact with TBPS in the past year?</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Yes</c:v>
                </c:pt>
              </c:strCache>
            </c:strRef>
          </c:tx>
          <c:spPr>
            <a:solidFill>
              <a:schemeClr val="accent4"/>
            </a:solidFill>
          </c:spPr>
          <c:dPt>
            <c:idx val="0"/>
            <c:bubble3D val="0"/>
            <c:spPr>
              <a:pattFill prst="pct90">
                <a:fgClr>
                  <a:schemeClr val="accent5"/>
                </a:fgClr>
                <a:bgClr>
                  <a:schemeClr val="bg1"/>
                </a:bgClr>
              </a:patt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6FB-9E4C-8B3B-C646AF1726F3}"/>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B6FB-9E4C-8B3B-C646AF1726F3}"/>
              </c:ext>
            </c:extLst>
          </c:dPt>
          <c:dLbls>
            <c:dLbl>
              <c:idx val="0"/>
              <c:layout>
                <c:manualLayout>
                  <c:x val="-0.11027839597525202"/>
                  <c:y val="-4.3532993126592312E-2"/>
                </c:manualLayout>
              </c:layout>
              <c:tx>
                <c:rich>
                  <a:bodyPr/>
                  <a:lstStyle/>
                  <a:p>
                    <a:r>
                      <a:rPr lang="en-US"/>
                      <a:t>Online</a:t>
                    </a:r>
                  </a:p>
                  <a:p>
                    <a:r>
                      <a:rPr lang="en-US"/>
                      <a:t>57%</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6FB-9E4C-8B3B-C646AF1726F3}"/>
                </c:ext>
              </c:extLst>
            </c:dLbl>
            <c:dLbl>
              <c:idx val="1"/>
              <c:layout>
                <c:manualLayout>
                  <c:x val="0.12744853270672582"/>
                  <c:y val="-2.4134666451151084E-2"/>
                </c:manualLayout>
              </c:layout>
              <c:tx>
                <c:rich>
                  <a:bodyPr/>
                  <a:lstStyle/>
                  <a:p>
                    <a:r>
                      <a:rPr lang="en-US"/>
                      <a:t>In-Person </a:t>
                    </a:r>
                  </a:p>
                  <a:p>
                    <a:r>
                      <a:rPr lang="en-US"/>
                      <a:t>55%</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6FB-9E4C-8B3B-C646AF1726F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Online</c:v>
                </c:pt>
                <c:pt idx="1">
                  <c:v>In-Person</c:v>
                </c:pt>
              </c:strCache>
            </c:strRef>
          </c:cat>
          <c:val>
            <c:numRef>
              <c:f>Sheet1!$B$2:$B$3</c:f>
              <c:numCache>
                <c:formatCode>0%</c:formatCode>
                <c:ptCount val="2"/>
                <c:pt idx="0">
                  <c:v>57</c:v>
                </c:pt>
                <c:pt idx="1">
                  <c:v>55</c:v>
                </c:pt>
              </c:numCache>
            </c:numRef>
          </c:val>
          <c:extLst>
            <c:ext xmlns:c16="http://schemas.microsoft.com/office/drawing/2014/chart" uri="{C3380CC4-5D6E-409C-BE32-E72D297353CC}">
              <c16:uniqueId val="{00000004-B6FB-9E4C-8B3B-C646AF1726F3}"/>
            </c:ext>
          </c:extLst>
        </c:ser>
        <c:dLbls>
          <c:dLblPos val="inEnd"/>
          <c:showLegendKey val="0"/>
          <c:showVal val="0"/>
          <c:showCatName val="1"/>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CA"/>
              <a:t>Were you treated with respect?</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Yes</c:v>
                </c:pt>
              </c:strCache>
            </c:strRef>
          </c:tx>
          <c:spPr>
            <a:pattFill prst="pct90">
              <a:fgClr>
                <a:schemeClr val="accent5"/>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In-Person</c:v>
                </c:pt>
                <c:pt idx="1">
                  <c:v>Online</c:v>
                </c:pt>
              </c:strCache>
            </c:strRef>
          </c:cat>
          <c:val>
            <c:numRef>
              <c:f>Sheet1!$B$2:$B$3</c:f>
              <c:numCache>
                <c:formatCode>0%</c:formatCode>
                <c:ptCount val="2"/>
                <c:pt idx="0">
                  <c:v>0.8</c:v>
                </c:pt>
                <c:pt idx="1">
                  <c:v>0.81</c:v>
                </c:pt>
              </c:numCache>
            </c:numRef>
          </c:val>
          <c:extLst>
            <c:ext xmlns:c16="http://schemas.microsoft.com/office/drawing/2014/chart" uri="{C3380CC4-5D6E-409C-BE32-E72D297353CC}">
              <c16:uniqueId val="{00000000-8633-9F43-A9A7-EBF217929491}"/>
            </c:ext>
          </c:extLst>
        </c:ser>
        <c:ser>
          <c:idx val="1"/>
          <c:order val="1"/>
          <c:tx>
            <c:strRef>
              <c:f>Sheet1!$C$1</c:f>
              <c:strCache>
                <c:ptCount val="1"/>
                <c:pt idx="0">
                  <c:v>No</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In-Person</c:v>
                </c:pt>
                <c:pt idx="1">
                  <c:v>Online</c:v>
                </c:pt>
              </c:strCache>
            </c:strRef>
          </c:cat>
          <c:val>
            <c:numRef>
              <c:f>Sheet1!$C$2:$C$3</c:f>
              <c:numCache>
                <c:formatCode>0%</c:formatCode>
                <c:ptCount val="2"/>
                <c:pt idx="0">
                  <c:v>0.15</c:v>
                </c:pt>
                <c:pt idx="1">
                  <c:v>0.09</c:v>
                </c:pt>
              </c:numCache>
            </c:numRef>
          </c:val>
          <c:extLst>
            <c:ext xmlns:c16="http://schemas.microsoft.com/office/drawing/2014/chart" uri="{C3380CC4-5D6E-409C-BE32-E72D297353CC}">
              <c16:uniqueId val="{00000001-8633-9F43-A9A7-EBF217929491}"/>
            </c:ext>
          </c:extLst>
        </c:ser>
        <c:ser>
          <c:idx val="2"/>
          <c:order val="2"/>
          <c:tx>
            <c:strRef>
              <c:f>Sheet1!$D$1</c:f>
              <c:strCache>
                <c:ptCount val="1"/>
                <c:pt idx="0">
                  <c:v>N/A</c:v>
                </c:pt>
              </c:strCache>
            </c:strRef>
          </c:tx>
          <c:spPr>
            <a:pattFill prst="pct80">
              <a:fgClr>
                <a:schemeClr val="accent4"/>
              </a:fgClr>
              <a:bgClr>
                <a:schemeClr val="bg1"/>
              </a:bgClr>
            </a:pattFill>
            <a:ln>
              <a:noFill/>
            </a:ln>
            <a:effectLst/>
          </c:spPr>
          <c:invertIfNegative val="0"/>
          <c:dPt>
            <c:idx val="0"/>
            <c:invertIfNegative val="0"/>
            <c:bubble3D val="0"/>
            <c:spPr>
              <a:pattFill prst="pct80">
                <a:fgClr>
                  <a:schemeClr val="accent4"/>
                </a:fgClr>
                <a:bgClr>
                  <a:schemeClr val="bg1"/>
                </a:bgClr>
              </a:pattFill>
              <a:ln>
                <a:noFill/>
              </a:ln>
              <a:effectLst/>
            </c:spPr>
            <c:extLst>
              <c:ext xmlns:c16="http://schemas.microsoft.com/office/drawing/2014/chart" uri="{C3380CC4-5D6E-409C-BE32-E72D297353CC}">
                <c16:uniqueId val="{00000003-8633-9F43-A9A7-EBF217929491}"/>
              </c:ext>
            </c:extLst>
          </c:dPt>
          <c:dPt>
            <c:idx val="1"/>
            <c:invertIfNegative val="0"/>
            <c:bubble3D val="0"/>
            <c:spPr>
              <a:pattFill prst="pct80">
                <a:fgClr>
                  <a:schemeClr val="accent4"/>
                </a:fgClr>
                <a:bgClr>
                  <a:schemeClr val="bg1"/>
                </a:bgClr>
              </a:pattFill>
              <a:ln>
                <a:noFill/>
              </a:ln>
              <a:effectLst/>
            </c:spPr>
            <c:extLst>
              <c:ext xmlns:c16="http://schemas.microsoft.com/office/drawing/2014/chart" uri="{C3380CC4-5D6E-409C-BE32-E72D297353CC}">
                <c16:uniqueId val="{00000005-8633-9F43-A9A7-EBF217929491}"/>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In-Person</c:v>
                </c:pt>
                <c:pt idx="1">
                  <c:v>Online</c:v>
                </c:pt>
              </c:strCache>
            </c:strRef>
          </c:cat>
          <c:val>
            <c:numRef>
              <c:f>Sheet1!$D$2:$D$3</c:f>
              <c:numCache>
                <c:formatCode>0%</c:formatCode>
                <c:ptCount val="2"/>
                <c:pt idx="0">
                  <c:v>0.05</c:v>
                </c:pt>
                <c:pt idx="1">
                  <c:v>0.1</c:v>
                </c:pt>
              </c:numCache>
            </c:numRef>
          </c:val>
          <c:extLst>
            <c:ext xmlns:c16="http://schemas.microsoft.com/office/drawing/2014/chart" uri="{C3380CC4-5D6E-409C-BE32-E72D297353CC}">
              <c16:uniqueId val="{00000006-8633-9F43-A9A7-EBF217929491}"/>
            </c:ext>
          </c:extLst>
        </c:ser>
        <c:dLbls>
          <c:dLblPos val="ctr"/>
          <c:showLegendKey val="0"/>
          <c:showVal val="1"/>
          <c:showCatName val="0"/>
          <c:showSerName val="0"/>
          <c:showPercent val="0"/>
          <c:showBubbleSize val="0"/>
        </c:dLbls>
        <c:gapWidth val="79"/>
        <c:overlap val="100"/>
        <c:axId val="472273648"/>
        <c:axId val="472278240"/>
      </c:barChart>
      <c:catAx>
        <c:axId val="472273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72278240"/>
        <c:crosses val="autoZero"/>
        <c:auto val="1"/>
        <c:lblAlgn val="ctr"/>
        <c:lblOffset val="100"/>
        <c:noMultiLvlLbl val="0"/>
      </c:catAx>
      <c:valAx>
        <c:axId val="472278240"/>
        <c:scaling>
          <c:orientation val="minMax"/>
        </c:scaling>
        <c:delete val="1"/>
        <c:axPos val="b"/>
        <c:numFmt formatCode="0%" sourceLinked="1"/>
        <c:majorTickMark val="none"/>
        <c:minorTickMark val="none"/>
        <c:tickLblPos val="nextTo"/>
        <c:crossAx val="4722736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CA"/>
              <a:t>Overall, how safe do you consider Thunder</a:t>
            </a:r>
            <a:r>
              <a:rPr lang="en-CA" baseline="0"/>
              <a:t> Bay to be?</a:t>
            </a:r>
            <a:endParaRPr lang="en-CA"/>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Online</c:v>
                </c:pt>
              </c:strCache>
            </c:strRef>
          </c:tx>
          <c:spPr>
            <a:pattFill prst="pct90">
              <a:fgClr>
                <a:schemeClr val="accent5"/>
              </a:fgClr>
              <a:bgClr>
                <a:schemeClr val="bg1"/>
              </a:bgClr>
            </a:pattFill>
            <a:ln w="9525" cap="flat" cmpd="sng" algn="ctr">
              <a:solidFill>
                <a:schemeClr val="accent6">
                  <a:shade val="95000"/>
                </a:schemeClr>
              </a:solidFill>
              <a:round/>
            </a:ln>
            <a:effectLst/>
          </c:spPr>
          <c:invertIfNegative val="0"/>
          <c:dPt>
            <c:idx val="0"/>
            <c:invertIfNegative val="0"/>
            <c:bubble3D val="0"/>
            <c:extLst>
              <c:ext xmlns:c16="http://schemas.microsoft.com/office/drawing/2014/chart" uri="{C3380CC4-5D6E-409C-BE32-E72D297353CC}">
                <c16:uniqueId val="{00000000-6D3B-4A42-B0EF-89249CC54703}"/>
              </c:ext>
            </c:extLst>
          </c:dPt>
          <c:dPt>
            <c:idx val="1"/>
            <c:invertIfNegative val="0"/>
            <c:bubble3D val="0"/>
            <c:extLst>
              <c:ext xmlns:c16="http://schemas.microsoft.com/office/drawing/2014/chart" uri="{C3380CC4-5D6E-409C-BE32-E72D297353CC}">
                <c16:uniqueId val="{00000001-6D3B-4A42-B0EF-89249CC54703}"/>
              </c:ext>
            </c:extLst>
          </c:dPt>
          <c:dPt>
            <c:idx val="2"/>
            <c:invertIfNegative val="0"/>
            <c:bubble3D val="0"/>
            <c:extLst>
              <c:ext xmlns:c16="http://schemas.microsoft.com/office/drawing/2014/chart" uri="{C3380CC4-5D6E-409C-BE32-E72D297353CC}">
                <c16:uniqueId val="{00000002-6D3B-4A42-B0EF-89249CC54703}"/>
              </c:ext>
            </c:extLst>
          </c:dPt>
          <c:dPt>
            <c:idx val="3"/>
            <c:invertIfNegative val="0"/>
            <c:bubble3D val="0"/>
            <c:extLst>
              <c:ext xmlns:c16="http://schemas.microsoft.com/office/drawing/2014/chart" uri="{C3380CC4-5D6E-409C-BE32-E72D297353CC}">
                <c16:uniqueId val="{00000003-6D3B-4A42-B0EF-89249CC54703}"/>
              </c:ext>
            </c:extLst>
          </c:dPt>
          <c:dPt>
            <c:idx val="4"/>
            <c:invertIfNegative val="0"/>
            <c:bubble3D val="0"/>
            <c:extLst>
              <c:ext xmlns:c16="http://schemas.microsoft.com/office/drawing/2014/chart" uri="{C3380CC4-5D6E-409C-BE32-E72D297353CC}">
                <c16:uniqueId val="{00000004-6D3B-4A42-B0EF-89249CC5470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Not safe at all</c:v>
                </c:pt>
                <c:pt idx="1">
                  <c:v>Not very safe</c:v>
                </c:pt>
                <c:pt idx="2">
                  <c:v>Neither safe nor unsafe</c:v>
                </c:pt>
                <c:pt idx="3">
                  <c:v>Somewhat safe</c:v>
                </c:pt>
                <c:pt idx="4">
                  <c:v>Very safe</c:v>
                </c:pt>
              </c:strCache>
            </c:strRef>
          </c:cat>
          <c:val>
            <c:numRef>
              <c:f>Sheet1!$B$2:$B$6</c:f>
              <c:numCache>
                <c:formatCode>0%</c:formatCode>
                <c:ptCount val="5"/>
                <c:pt idx="0">
                  <c:v>7.0000000000000007E-2</c:v>
                </c:pt>
                <c:pt idx="1">
                  <c:v>0.24</c:v>
                </c:pt>
                <c:pt idx="2">
                  <c:v>0.12</c:v>
                </c:pt>
                <c:pt idx="3">
                  <c:v>0.39</c:v>
                </c:pt>
                <c:pt idx="4">
                  <c:v>0.09</c:v>
                </c:pt>
              </c:numCache>
            </c:numRef>
          </c:val>
          <c:extLst>
            <c:ext xmlns:c16="http://schemas.microsoft.com/office/drawing/2014/chart" uri="{C3380CC4-5D6E-409C-BE32-E72D297353CC}">
              <c16:uniqueId val="{00000005-6D3B-4A42-B0EF-89249CC54703}"/>
            </c:ext>
          </c:extLst>
        </c:ser>
        <c:ser>
          <c:idx val="1"/>
          <c:order val="1"/>
          <c:tx>
            <c:strRef>
              <c:f>Sheet1!$C$1</c:f>
              <c:strCache>
                <c:ptCount val="1"/>
                <c:pt idx="0">
                  <c:v>In-Person</c:v>
                </c:pt>
              </c:strCache>
            </c:strRef>
          </c:tx>
          <c:spPr>
            <a:solidFill>
              <a:schemeClr val="accent4"/>
            </a:solidFill>
            <a:ln w="9525" cap="flat" cmpd="sng" algn="ctr">
              <a:solidFill>
                <a:schemeClr val="accent5">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Not safe at all</c:v>
                </c:pt>
                <c:pt idx="1">
                  <c:v>Not very safe</c:v>
                </c:pt>
                <c:pt idx="2">
                  <c:v>Neither safe nor unsafe</c:v>
                </c:pt>
                <c:pt idx="3">
                  <c:v>Somewhat safe</c:v>
                </c:pt>
                <c:pt idx="4">
                  <c:v>Very safe</c:v>
                </c:pt>
              </c:strCache>
            </c:strRef>
          </c:cat>
          <c:val>
            <c:numRef>
              <c:f>Sheet1!$C$2:$C$6</c:f>
              <c:numCache>
                <c:formatCode>0%</c:formatCode>
                <c:ptCount val="5"/>
                <c:pt idx="0">
                  <c:v>0.08</c:v>
                </c:pt>
                <c:pt idx="1">
                  <c:v>0.32</c:v>
                </c:pt>
                <c:pt idx="2">
                  <c:v>0.19</c:v>
                </c:pt>
                <c:pt idx="3">
                  <c:v>0.31</c:v>
                </c:pt>
                <c:pt idx="4">
                  <c:v>0.06</c:v>
                </c:pt>
              </c:numCache>
            </c:numRef>
          </c:val>
          <c:extLst>
            <c:ext xmlns:c16="http://schemas.microsoft.com/office/drawing/2014/chart" uri="{C3380CC4-5D6E-409C-BE32-E72D297353CC}">
              <c16:uniqueId val="{00000006-6D3B-4A42-B0EF-89249CC54703}"/>
            </c:ext>
          </c:extLst>
        </c:ser>
        <c:dLbls>
          <c:dLblPos val="inEnd"/>
          <c:showLegendKey val="0"/>
          <c:showVal val="1"/>
          <c:showCatName val="0"/>
          <c:showSerName val="0"/>
          <c:showPercent val="0"/>
          <c:showBubbleSize val="0"/>
        </c:dLbls>
        <c:gapWidth val="100"/>
        <c:overlap val="100"/>
        <c:axId val="1043234479"/>
        <c:axId val="1042809551"/>
      </c:barChart>
      <c:catAx>
        <c:axId val="10432344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042809551"/>
        <c:crosses val="autoZero"/>
        <c:auto val="1"/>
        <c:lblAlgn val="ctr"/>
        <c:lblOffset val="100"/>
        <c:noMultiLvlLbl val="0"/>
      </c:catAx>
      <c:valAx>
        <c:axId val="104280955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0432344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CA"/>
              <a:t>TBPS is sensitive to the needs of MY group</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Online</c:v>
                </c:pt>
              </c:strCache>
            </c:strRef>
          </c:tx>
          <c:spPr>
            <a:pattFill prst="pct90">
              <a:fgClr>
                <a:schemeClr val="accent5"/>
              </a:fgClr>
              <a:bgClr>
                <a:schemeClr val="bg1"/>
              </a:bgClr>
            </a:pattFill>
            <a:ln>
              <a:noFill/>
            </a:ln>
            <a:effectLst/>
          </c:spPr>
          <c:invertIfNegative val="0"/>
          <c:dPt>
            <c:idx val="0"/>
            <c:invertIfNegative val="0"/>
            <c:bubble3D val="0"/>
            <c:extLst>
              <c:ext xmlns:c16="http://schemas.microsoft.com/office/drawing/2014/chart" uri="{C3380CC4-5D6E-409C-BE32-E72D297353CC}">
                <c16:uniqueId val="{00000000-5BF0-1D4B-AC26-4D785839D467}"/>
              </c:ext>
            </c:extLst>
          </c:dPt>
          <c:dPt>
            <c:idx val="1"/>
            <c:invertIfNegative val="0"/>
            <c:bubble3D val="0"/>
            <c:extLst>
              <c:ext xmlns:c16="http://schemas.microsoft.com/office/drawing/2014/chart" uri="{C3380CC4-5D6E-409C-BE32-E72D297353CC}">
                <c16:uniqueId val="{00000001-5BF0-1D4B-AC26-4D785839D467}"/>
              </c:ext>
            </c:extLst>
          </c:dPt>
          <c:dPt>
            <c:idx val="2"/>
            <c:invertIfNegative val="0"/>
            <c:bubble3D val="0"/>
            <c:extLst>
              <c:ext xmlns:c16="http://schemas.microsoft.com/office/drawing/2014/chart" uri="{C3380CC4-5D6E-409C-BE32-E72D297353CC}">
                <c16:uniqueId val="{00000002-5BF0-1D4B-AC26-4D785839D467}"/>
              </c:ext>
            </c:extLst>
          </c:dPt>
          <c:dPt>
            <c:idx val="3"/>
            <c:invertIfNegative val="0"/>
            <c:bubble3D val="0"/>
            <c:extLst>
              <c:ext xmlns:c16="http://schemas.microsoft.com/office/drawing/2014/chart" uri="{C3380CC4-5D6E-409C-BE32-E72D297353CC}">
                <c16:uniqueId val="{00000003-5BF0-1D4B-AC26-4D785839D467}"/>
              </c:ext>
            </c:extLst>
          </c:dPt>
          <c:dPt>
            <c:idx val="4"/>
            <c:invertIfNegative val="0"/>
            <c:bubble3D val="0"/>
            <c:extLst>
              <c:ext xmlns:c16="http://schemas.microsoft.com/office/drawing/2014/chart" uri="{C3380CC4-5D6E-409C-BE32-E72D297353CC}">
                <c16:uniqueId val="{00000004-5BF0-1D4B-AC26-4D785839D46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Strongly disagree</c:v>
                </c:pt>
                <c:pt idx="1">
                  <c:v>Somewhat disagree</c:v>
                </c:pt>
                <c:pt idx="2">
                  <c:v>Neither agree nor disagree</c:v>
                </c:pt>
                <c:pt idx="3">
                  <c:v>Somewhat agree</c:v>
                </c:pt>
                <c:pt idx="4">
                  <c:v>Strongly agree</c:v>
                </c:pt>
              </c:strCache>
            </c:strRef>
          </c:cat>
          <c:val>
            <c:numRef>
              <c:f>Sheet1!$B$2:$B$6</c:f>
              <c:numCache>
                <c:formatCode>0%</c:formatCode>
                <c:ptCount val="5"/>
                <c:pt idx="0">
                  <c:v>9.2200000000000004E-2</c:v>
                </c:pt>
                <c:pt idx="1">
                  <c:v>4.8599999999999997E-2</c:v>
                </c:pt>
                <c:pt idx="2">
                  <c:v>0.12709999999999999</c:v>
                </c:pt>
                <c:pt idx="3">
                  <c:v>0.16489999999999999</c:v>
                </c:pt>
                <c:pt idx="4">
                  <c:v>0.47299999999999998</c:v>
                </c:pt>
              </c:numCache>
            </c:numRef>
          </c:val>
          <c:extLst>
            <c:ext xmlns:c16="http://schemas.microsoft.com/office/drawing/2014/chart" uri="{C3380CC4-5D6E-409C-BE32-E72D297353CC}">
              <c16:uniqueId val="{00000005-5BF0-1D4B-AC26-4D785839D467}"/>
            </c:ext>
          </c:extLst>
        </c:ser>
        <c:ser>
          <c:idx val="1"/>
          <c:order val="1"/>
          <c:tx>
            <c:strRef>
              <c:f>Sheet1!$C$1</c:f>
              <c:strCache>
                <c:ptCount val="1"/>
                <c:pt idx="0">
                  <c:v>In-Person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Strongly disagree</c:v>
                </c:pt>
                <c:pt idx="1">
                  <c:v>Somewhat disagree</c:v>
                </c:pt>
                <c:pt idx="2">
                  <c:v>Neither agree nor disagree</c:v>
                </c:pt>
                <c:pt idx="3">
                  <c:v>Somewhat agree</c:v>
                </c:pt>
                <c:pt idx="4">
                  <c:v>Strongly agree</c:v>
                </c:pt>
              </c:strCache>
            </c:strRef>
          </c:cat>
          <c:val>
            <c:numRef>
              <c:f>Sheet1!$C$2:$C$6</c:f>
              <c:numCache>
                <c:formatCode>0%</c:formatCode>
                <c:ptCount val="5"/>
                <c:pt idx="0">
                  <c:v>0.184</c:v>
                </c:pt>
                <c:pt idx="1">
                  <c:v>0.1226</c:v>
                </c:pt>
                <c:pt idx="2">
                  <c:v>0.16980000000000001</c:v>
                </c:pt>
                <c:pt idx="3">
                  <c:v>0.1981</c:v>
                </c:pt>
                <c:pt idx="4">
                  <c:v>0.23580000000000001</c:v>
                </c:pt>
              </c:numCache>
            </c:numRef>
          </c:val>
          <c:extLst>
            <c:ext xmlns:c16="http://schemas.microsoft.com/office/drawing/2014/chart" uri="{C3380CC4-5D6E-409C-BE32-E72D297353CC}">
              <c16:uniqueId val="{00000006-5BF0-1D4B-AC26-4D785839D467}"/>
            </c:ext>
          </c:extLst>
        </c:ser>
        <c:dLbls>
          <c:dLblPos val="ctr"/>
          <c:showLegendKey val="0"/>
          <c:showVal val="1"/>
          <c:showCatName val="0"/>
          <c:showSerName val="0"/>
          <c:showPercent val="0"/>
          <c:showBubbleSize val="0"/>
        </c:dLbls>
        <c:gapWidth val="79"/>
        <c:overlap val="100"/>
        <c:axId val="1020028879"/>
        <c:axId val="1019880783"/>
      </c:barChart>
      <c:catAx>
        <c:axId val="10200288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19880783"/>
        <c:crosses val="autoZero"/>
        <c:auto val="1"/>
        <c:lblAlgn val="ctr"/>
        <c:lblOffset val="100"/>
        <c:noMultiLvlLbl val="0"/>
      </c:catAx>
      <c:valAx>
        <c:axId val="1019880783"/>
        <c:scaling>
          <c:orientation val="minMax"/>
        </c:scaling>
        <c:delete val="1"/>
        <c:axPos val="b"/>
        <c:numFmt formatCode="0%" sourceLinked="1"/>
        <c:majorTickMark val="none"/>
        <c:minorTickMark val="none"/>
        <c:tickLblPos val="nextTo"/>
        <c:crossAx val="1020028879"/>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Treating People Fairly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Good Job</c:v>
                </c:pt>
              </c:strCache>
            </c:strRef>
          </c:tx>
          <c:spPr>
            <a:pattFill prst="pct5">
              <a:fgClr>
                <a:schemeClr val="accent6">
                  <a:lumMod val="75000"/>
                </a:schemeClr>
              </a:fgClr>
              <a:bgClr>
                <a:schemeClr val="accent5"/>
              </a:bgClr>
            </a:pattFill>
            <a:ln>
              <a:noFill/>
            </a:ln>
            <a:effectLst/>
          </c:spPr>
          <c:invertIfNegative val="0"/>
          <c:dPt>
            <c:idx val="0"/>
            <c:invertIfNegative val="0"/>
            <c:bubble3D val="0"/>
            <c:spPr>
              <a:pattFill prst="pct5">
                <a:fgClr>
                  <a:schemeClr val="accent6">
                    <a:lumMod val="75000"/>
                  </a:schemeClr>
                </a:fgClr>
                <a:bgClr>
                  <a:schemeClr val="accent5"/>
                </a:bgClr>
              </a:pattFill>
              <a:ln>
                <a:noFill/>
              </a:ln>
              <a:effectLst/>
            </c:spPr>
            <c:extLst>
              <c:ext xmlns:c16="http://schemas.microsoft.com/office/drawing/2014/chart" uri="{C3380CC4-5D6E-409C-BE32-E72D297353CC}">
                <c16:uniqueId val="{00000001-ED9E-C149-B6B1-607D1F94AFFB}"/>
              </c:ext>
            </c:extLst>
          </c:dPt>
          <c:dPt>
            <c:idx val="1"/>
            <c:invertIfNegative val="0"/>
            <c:bubble3D val="0"/>
            <c:spPr>
              <a:pattFill prst="pct5">
                <a:fgClr>
                  <a:schemeClr val="accent6">
                    <a:lumMod val="75000"/>
                  </a:schemeClr>
                </a:fgClr>
                <a:bgClr>
                  <a:schemeClr val="accent5"/>
                </a:bgClr>
              </a:pattFill>
              <a:ln>
                <a:noFill/>
              </a:ln>
              <a:effectLst/>
            </c:spPr>
            <c:extLst>
              <c:ext xmlns:c16="http://schemas.microsoft.com/office/drawing/2014/chart" uri="{C3380CC4-5D6E-409C-BE32-E72D297353CC}">
                <c16:uniqueId val="{00000003-ED9E-C149-B6B1-607D1F94AFFB}"/>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In-Person</c:v>
                </c:pt>
                <c:pt idx="1">
                  <c:v>Online</c:v>
                </c:pt>
              </c:strCache>
            </c:strRef>
          </c:cat>
          <c:val>
            <c:numRef>
              <c:f>Sheet1!$B$2:$B$3</c:f>
              <c:numCache>
                <c:formatCode>0%</c:formatCode>
                <c:ptCount val="2"/>
                <c:pt idx="0">
                  <c:v>0.19</c:v>
                </c:pt>
                <c:pt idx="1">
                  <c:v>0.52</c:v>
                </c:pt>
              </c:numCache>
            </c:numRef>
          </c:val>
          <c:extLst>
            <c:ext xmlns:c16="http://schemas.microsoft.com/office/drawing/2014/chart" uri="{C3380CC4-5D6E-409C-BE32-E72D297353CC}">
              <c16:uniqueId val="{00000004-ED9E-C149-B6B1-607D1F94AFFB}"/>
            </c:ext>
          </c:extLst>
        </c:ser>
        <c:ser>
          <c:idx val="1"/>
          <c:order val="1"/>
          <c:tx>
            <c:strRef>
              <c:f>Sheet1!$C$1</c:f>
              <c:strCache>
                <c:ptCount val="1"/>
                <c:pt idx="0">
                  <c:v>Average Job</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In-Person</c:v>
                </c:pt>
                <c:pt idx="1">
                  <c:v>Online</c:v>
                </c:pt>
              </c:strCache>
            </c:strRef>
          </c:cat>
          <c:val>
            <c:numRef>
              <c:f>Sheet1!$C$2:$C$3</c:f>
              <c:numCache>
                <c:formatCode>0%</c:formatCode>
                <c:ptCount val="2"/>
                <c:pt idx="0">
                  <c:v>0.26</c:v>
                </c:pt>
                <c:pt idx="1">
                  <c:v>0.19</c:v>
                </c:pt>
              </c:numCache>
            </c:numRef>
          </c:val>
          <c:extLst>
            <c:ext xmlns:c16="http://schemas.microsoft.com/office/drawing/2014/chart" uri="{C3380CC4-5D6E-409C-BE32-E72D297353CC}">
              <c16:uniqueId val="{00000005-ED9E-C149-B6B1-607D1F94AFFB}"/>
            </c:ext>
          </c:extLst>
        </c:ser>
        <c:ser>
          <c:idx val="2"/>
          <c:order val="2"/>
          <c:tx>
            <c:strRef>
              <c:f>Sheet1!$D$1</c:f>
              <c:strCache>
                <c:ptCount val="1"/>
                <c:pt idx="0">
                  <c:v>Poor Job</c:v>
                </c:pt>
              </c:strCache>
            </c:strRef>
          </c:tx>
          <c:spPr>
            <a:pattFill prst="pct80">
              <a:fgClr>
                <a:schemeClr val="accent4"/>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accent1">
                        <a:lumMod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In-Person</c:v>
                </c:pt>
                <c:pt idx="1">
                  <c:v>Online</c:v>
                </c:pt>
              </c:strCache>
            </c:strRef>
          </c:cat>
          <c:val>
            <c:numRef>
              <c:f>Sheet1!$D$2:$D$3</c:f>
              <c:numCache>
                <c:formatCode>0%</c:formatCode>
                <c:ptCount val="2"/>
                <c:pt idx="0">
                  <c:v>0.4</c:v>
                </c:pt>
                <c:pt idx="1">
                  <c:v>0.2</c:v>
                </c:pt>
              </c:numCache>
            </c:numRef>
          </c:val>
          <c:extLst>
            <c:ext xmlns:c16="http://schemas.microsoft.com/office/drawing/2014/chart" uri="{C3380CC4-5D6E-409C-BE32-E72D297353CC}">
              <c16:uniqueId val="{00000006-ED9E-C149-B6B1-607D1F94AFFB}"/>
            </c:ext>
          </c:extLst>
        </c:ser>
        <c:dLbls>
          <c:showLegendKey val="0"/>
          <c:showVal val="1"/>
          <c:showCatName val="0"/>
          <c:showSerName val="0"/>
          <c:showPercent val="0"/>
          <c:showBubbleSize val="0"/>
        </c:dLbls>
        <c:gapWidth val="95"/>
        <c:overlap val="100"/>
        <c:axId val="877951375"/>
        <c:axId val="918596047"/>
      </c:barChart>
      <c:catAx>
        <c:axId val="8779513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918596047"/>
        <c:crosses val="autoZero"/>
        <c:auto val="1"/>
        <c:lblAlgn val="ctr"/>
        <c:lblOffset val="100"/>
        <c:noMultiLvlLbl val="0"/>
      </c:catAx>
      <c:valAx>
        <c:axId val="918596047"/>
        <c:scaling>
          <c:orientation val="minMax"/>
        </c:scaling>
        <c:delete val="1"/>
        <c:axPos val="b"/>
        <c:numFmt formatCode="0%" sourceLinked="1"/>
        <c:majorTickMark val="none"/>
        <c:minorTickMark val="none"/>
        <c:tickLblPos val="nextTo"/>
        <c:crossAx val="877951375"/>
        <c:crosses val="autoZero"/>
        <c:crossBetween val="between"/>
      </c:valAx>
      <c:spPr>
        <a:noFill/>
        <a:ln>
          <a:noFill/>
        </a:ln>
        <a:effectLst/>
      </c:spPr>
    </c:plotArea>
    <c:legend>
      <c:legendPos val="t"/>
      <c:layout>
        <c:manualLayout>
          <c:xMode val="edge"/>
          <c:yMode val="edge"/>
          <c:x val="0.11356463254593176"/>
          <c:y val="0.23051587301587301"/>
          <c:w val="0.8191668489355497"/>
          <c:h val="7.4901262342207231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CA"/>
              <a:t>How much confidence do you have in the TBPS? Is it?</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Online</c:v>
                </c:pt>
              </c:strCache>
            </c:strRef>
          </c:tx>
          <c:spPr>
            <a:pattFill prst="pct90">
              <a:fgClr>
                <a:schemeClr val="accent5"/>
              </a:fgClr>
              <a:bgClr>
                <a:schemeClr val="bg1"/>
              </a:bgClr>
            </a:pattFill>
            <a:ln>
              <a:noFill/>
            </a:ln>
            <a:effectLst/>
          </c:spPr>
          <c:invertIfNegative val="0"/>
          <c:dPt>
            <c:idx val="0"/>
            <c:invertIfNegative val="0"/>
            <c:bubble3D val="0"/>
            <c:spPr>
              <a:pattFill prst="pct90">
                <a:fgClr>
                  <a:schemeClr val="accent5"/>
                </a:fgClr>
                <a:bgClr>
                  <a:schemeClr val="bg1"/>
                </a:bgClr>
              </a:pattFill>
              <a:ln>
                <a:noFill/>
              </a:ln>
              <a:effectLst/>
            </c:spPr>
            <c:extLst>
              <c:ext xmlns:c16="http://schemas.microsoft.com/office/drawing/2014/chart" uri="{C3380CC4-5D6E-409C-BE32-E72D297353CC}">
                <c16:uniqueId val="{00000001-DD09-E440-8208-DC7D5255223D}"/>
              </c:ext>
            </c:extLst>
          </c:dPt>
          <c:dPt>
            <c:idx val="1"/>
            <c:invertIfNegative val="0"/>
            <c:bubble3D val="0"/>
            <c:spPr>
              <a:pattFill prst="pct90">
                <a:fgClr>
                  <a:schemeClr val="accent5"/>
                </a:fgClr>
                <a:bgClr>
                  <a:schemeClr val="bg1"/>
                </a:bgClr>
              </a:pattFill>
              <a:ln>
                <a:noFill/>
              </a:ln>
              <a:effectLst/>
            </c:spPr>
            <c:extLst>
              <c:ext xmlns:c16="http://schemas.microsoft.com/office/drawing/2014/chart" uri="{C3380CC4-5D6E-409C-BE32-E72D297353CC}">
                <c16:uniqueId val="{00000003-DD09-E440-8208-DC7D5255223D}"/>
              </c:ext>
            </c:extLst>
          </c:dPt>
          <c:dPt>
            <c:idx val="2"/>
            <c:invertIfNegative val="0"/>
            <c:bubble3D val="0"/>
            <c:spPr>
              <a:pattFill prst="pct90">
                <a:fgClr>
                  <a:schemeClr val="accent5"/>
                </a:fgClr>
                <a:bgClr>
                  <a:schemeClr val="bg1"/>
                </a:bgClr>
              </a:pattFill>
              <a:ln>
                <a:noFill/>
              </a:ln>
              <a:effectLst/>
            </c:spPr>
            <c:extLst>
              <c:ext xmlns:c16="http://schemas.microsoft.com/office/drawing/2014/chart" uri="{C3380CC4-5D6E-409C-BE32-E72D297353CC}">
                <c16:uniqueId val="{00000005-DD09-E440-8208-DC7D5255223D}"/>
              </c:ext>
            </c:extLst>
          </c:dPt>
          <c:dPt>
            <c:idx val="3"/>
            <c:invertIfNegative val="0"/>
            <c:bubble3D val="0"/>
            <c:spPr>
              <a:pattFill prst="pct90">
                <a:fgClr>
                  <a:schemeClr val="accent5"/>
                </a:fgClr>
                <a:bgClr>
                  <a:schemeClr val="bg1"/>
                </a:bgClr>
              </a:pattFill>
              <a:ln>
                <a:noFill/>
              </a:ln>
              <a:effectLst/>
            </c:spPr>
            <c:extLst>
              <c:ext xmlns:c16="http://schemas.microsoft.com/office/drawing/2014/chart" uri="{C3380CC4-5D6E-409C-BE32-E72D297353CC}">
                <c16:uniqueId val="{00000007-DD09-E440-8208-DC7D5255223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No confidence at all</c:v>
                </c:pt>
                <c:pt idx="1">
                  <c:v>Not very much confidence</c:v>
                </c:pt>
                <c:pt idx="2">
                  <c:v>Some confidence</c:v>
                </c:pt>
                <c:pt idx="3">
                  <c:v>A great deal of confidence</c:v>
                </c:pt>
              </c:strCache>
            </c:strRef>
          </c:cat>
          <c:val>
            <c:numRef>
              <c:f>Sheet1!$B$2:$B$5</c:f>
              <c:numCache>
                <c:formatCode>0%</c:formatCode>
                <c:ptCount val="4"/>
                <c:pt idx="0">
                  <c:v>5.45E-2</c:v>
                </c:pt>
                <c:pt idx="1">
                  <c:v>0.107</c:v>
                </c:pt>
                <c:pt idx="2">
                  <c:v>0.21540000000000001</c:v>
                </c:pt>
                <c:pt idx="3">
                  <c:v>0.5363</c:v>
                </c:pt>
              </c:numCache>
            </c:numRef>
          </c:val>
          <c:extLst>
            <c:ext xmlns:c16="http://schemas.microsoft.com/office/drawing/2014/chart" uri="{C3380CC4-5D6E-409C-BE32-E72D297353CC}">
              <c16:uniqueId val="{00000008-DD09-E440-8208-DC7D5255223D}"/>
            </c:ext>
          </c:extLst>
        </c:ser>
        <c:ser>
          <c:idx val="1"/>
          <c:order val="1"/>
          <c:tx>
            <c:strRef>
              <c:f>Sheet1!$C$1</c:f>
              <c:strCache>
                <c:ptCount val="1"/>
                <c:pt idx="0">
                  <c:v>In-Person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No confidence at all</c:v>
                </c:pt>
                <c:pt idx="1">
                  <c:v>Not very much confidence</c:v>
                </c:pt>
                <c:pt idx="2">
                  <c:v>Some confidence</c:v>
                </c:pt>
                <c:pt idx="3">
                  <c:v>A great deal of confidence</c:v>
                </c:pt>
              </c:strCache>
            </c:strRef>
          </c:cat>
          <c:val>
            <c:numRef>
              <c:f>Sheet1!$C$2:$C$5</c:f>
              <c:numCache>
                <c:formatCode>0%</c:formatCode>
                <c:ptCount val="4"/>
                <c:pt idx="0">
                  <c:v>8.0199999999999994E-2</c:v>
                </c:pt>
                <c:pt idx="1">
                  <c:v>0.25</c:v>
                </c:pt>
                <c:pt idx="2">
                  <c:v>0.40089999999999998</c:v>
                </c:pt>
                <c:pt idx="3">
                  <c:v>0.22639999999999999</c:v>
                </c:pt>
              </c:numCache>
            </c:numRef>
          </c:val>
          <c:extLst>
            <c:ext xmlns:c16="http://schemas.microsoft.com/office/drawing/2014/chart" uri="{C3380CC4-5D6E-409C-BE32-E72D297353CC}">
              <c16:uniqueId val="{00000009-DD09-E440-8208-DC7D5255223D}"/>
            </c:ext>
          </c:extLst>
        </c:ser>
        <c:dLbls>
          <c:dLblPos val="ctr"/>
          <c:showLegendKey val="0"/>
          <c:showVal val="1"/>
          <c:showCatName val="0"/>
          <c:showSerName val="0"/>
          <c:showPercent val="0"/>
          <c:showBubbleSize val="0"/>
        </c:dLbls>
        <c:gapWidth val="79"/>
        <c:overlap val="100"/>
        <c:axId val="1020028879"/>
        <c:axId val="1019880783"/>
      </c:barChart>
      <c:catAx>
        <c:axId val="10200288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19880783"/>
        <c:crosses val="autoZero"/>
        <c:auto val="1"/>
        <c:lblAlgn val="ctr"/>
        <c:lblOffset val="100"/>
        <c:noMultiLvlLbl val="0"/>
      </c:catAx>
      <c:valAx>
        <c:axId val="1019880783"/>
        <c:scaling>
          <c:orientation val="minMax"/>
        </c:scaling>
        <c:delete val="1"/>
        <c:axPos val="b"/>
        <c:numFmt formatCode="0%" sourceLinked="1"/>
        <c:majorTickMark val="none"/>
        <c:minorTickMark val="none"/>
        <c:tickLblPos val="nextTo"/>
        <c:crossAx val="1020028879"/>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2019-04-03T12:37:00Z</cp:lastPrinted>
  <dcterms:created xsi:type="dcterms:W3CDTF">2019-04-26T11:54:00Z</dcterms:created>
  <dcterms:modified xsi:type="dcterms:W3CDTF">2019-04-26T12:02:00Z</dcterms:modified>
</cp:coreProperties>
</file>